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05" w:rsidRDefault="00742C05" w:rsidP="009F2022">
      <w:pPr>
        <w:pStyle w:val="NormalWeb"/>
        <w:rPr>
          <w:rFonts w:ascii="Trebuchet MS" w:hAnsi="Trebuchet MS"/>
        </w:rPr>
      </w:pPr>
      <w:r>
        <w:rPr>
          <w:rFonts w:ascii="Trebuchet MS" w:hAnsi="Trebuchet MS"/>
        </w:rPr>
        <w:t xml:space="preserve">Two </w:t>
      </w:r>
      <w:r w:rsidRPr="00742C05">
        <w:rPr>
          <w:rFonts w:ascii="Trebuchet MS" w:hAnsi="Trebuchet MS"/>
        </w:rPr>
        <w:t xml:space="preserve">20thC </w:t>
      </w:r>
      <w:proofErr w:type="spellStart"/>
      <w:r w:rsidRPr="00742C05">
        <w:rPr>
          <w:rFonts w:ascii="Trebuchet MS" w:hAnsi="Trebuchet MS"/>
        </w:rPr>
        <w:t>creatives</w:t>
      </w:r>
      <w:proofErr w:type="spellEnd"/>
      <w:r w:rsidRPr="00742C05">
        <w:rPr>
          <w:rFonts w:ascii="Trebuchet MS" w:hAnsi="Trebuchet MS"/>
        </w:rPr>
        <w:t xml:space="preserve"> meet Theory's hegemony</w:t>
      </w:r>
      <w:r>
        <w:rPr>
          <w:rFonts w:ascii="Trebuchet MS" w:hAnsi="Trebuchet MS"/>
        </w:rPr>
        <w:br/>
        <w:t>by Richard D North</w:t>
      </w:r>
    </w:p>
    <w:p w:rsidR="00742C05" w:rsidRDefault="00742C05" w:rsidP="009F2022">
      <w:pPr>
        <w:pStyle w:val="NormalWeb"/>
        <w:rPr>
          <w:rFonts w:ascii="Trebuchet MS" w:hAnsi="Trebuchet MS"/>
        </w:rPr>
      </w:pPr>
      <w:r>
        <w:rPr>
          <w:rFonts w:ascii="Trebuchet MS" w:hAnsi="Trebuchet MS"/>
        </w:rPr>
        <w:t>1 December, 2024</w:t>
      </w:r>
    </w:p>
    <w:p w:rsidR="009F2022" w:rsidRPr="009F2022" w:rsidRDefault="00DD7E22" w:rsidP="009F2022">
      <w:pPr>
        <w:pStyle w:val="NormalWeb"/>
        <w:rPr>
          <w:rFonts w:ascii="Trebuchet MS" w:hAnsi="Trebuchet MS"/>
        </w:rPr>
      </w:pPr>
      <w:r>
        <w:rPr>
          <w:rFonts w:ascii="Trebuchet MS" w:hAnsi="Trebuchet MS"/>
        </w:rPr>
        <w:t>c</w:t>
      </w:r>
      <w:r w:rsidR="005B5CA4">
        <w:rPr>
          <w:rFonts w:ascii="Trebuchet MS" w:hAnsi="Trebuchet MS"/>
        </w:rPr>
        <w:t>4,2</w:t>
      </w:r>
      <w:r w:rsidR="00742C05">
        <w:rPr>
          <w:rFonts w:ascii="Trebuchet MS" w:hAnsi="Trebuchet MS"/>
        </w:rPr>
        <w:t>00 words</w:t>
      </w:r>
      <w:r>
        <w:rPr>
          <w:rFonts w:ascii="Trebuchet MS" w:hAnsi="Trebuchet MS"/>
        </w:rPr>
        <w:t xml:space="preserve"> (including c1000 words of Appendix)</w:t>
      </w:r>
      <w:r w:rsidR="009F2022" w:rsidRPr="009F2022">
        <w:rPr>
          <w:rFonts w:ascii="Trebuchet MS" w:hAnsi="Trebuchet MS"/>
        </w:rPr>
        <w:br/>
      </w:r>
      <w:r w:rsidR="009F2022" w:rsidRPr="009F2022">
        <w:rPr>
          <w:rFonts w:ascii="Trebuchet MS" w:hAnsi="Trebuchet MS"/>
        </w:rPr>
        <w:br/>
        <w:t>I want to defend two very different 20th Century British artists from the 21st Century's Critical Theory and Colonial Theory, not least as Theory exerts its baleful influence in the art gallery world. This is part of my wider (impossible) ambition to free modern culture - I mean the minds of the under-50s - from the wor</w:t>
      </w:r>
      <w:r w:rsidR="007D0265">
        <w:rPr>
          <w:rFonts w:ascii="Trebuchet MS" w:hAnsi="Trebuchet MS"/>
        </w:rPr>
        <w:t>st of Theory and Postmodernism.</w:t>
      </w:r>
      <w:r w:rsidR="00F354CD">
        <w:rPr>
          <w:rStyle w:val="FootnoteReference"/>
          <w:rFonts w:ascii="Trebuchet MS" w:hAnsi="Trebuchet MS"/>
        </w:rPr>
        <w:footnoteReference w:id="1"/>
      </w:r>
    </w:p>
    <w:p w:rsidR="009F2022" w:rsidRPr="009F2022" w:rsidRDefault="009F2022" w:rsidP="009F2022">
      <w:pPr>
        <w:pStyle w:val="NormalWeb"/>
        <w:rPr>
          <w:rFonts w:ascii="Trebuchet MS" w:hAnsi="Trebuchet MS"/>
        </w:rPr>
      </w:pPr>
      <w:r w:rsidRPr="009F2022">
        <w:rPr>
          <w:rFonts w:ascii="Trebuchet MS" w:hAnsi="Trebuchet MS"/>
        </w:rPr>
        <w:t xml:space="preserve">This is a 1920s story from London, New Delhi and Lahore, partly as filtered through </w:t>
      </w:r>
      <w:proofErr w:type="spellStart"/>
      <w:r w:rsidRPr="009F2022">
        <w:rPr>
          <w:rFonts w:ascii="Trebuchet MS" w:hAnsi="Trebuchet MS"/>
        </w:rPr>
        <w:t>Chichester's</w:t>
      </w:r>
      <w:proofErr w:type="spellEnd"/>
      <w:r w:rsidRPr="009F2022">
        <w:rPr>
          <w:rFonts w:ascii="Trebuchet MS" w:hAnsi="Trebuchet MS"/>
        </w:rPr>
        <w:t xml:space="preserve"> </w:t>
      </w:r>
      <w:proofErr w:type="spellStart"/>
      <w:r w:rsidRPr="009F2022">
        <w:rPr>
          <w:rFonts w:ascii="Trebuchet MS" w:hAnsi="Trebuchet MS"/>
        </w:rPr>
        <w:t>Pallant</w:t>
      </w:r>
      <w:proofErr w:type="spellEnd"/>
      <w:r w:rsidRPr="009F2022">
        <w:rPr>
          <w:rFonts w:ascii="Trebuchet MS" w:hAnsi="Trebuchet MS"/>
        </w:rPr>
        <w:t xml:space="preserve"> Gallery show and book on </w:t>
      </w:r>
      <w:r w:rsidRPr="009F2022">
        <w:rPr>
          <w:rStyle w:val="Emphasis"/>
          <w:rFonts w:ascii="Trebuchet MS" w:hAnsi="Trebuchet MS"/>
        </w:rPr>
        <w:t xml:space="preserve">Glyn Philpot: Flesh and Spirit </w:t>
      </w:r>
      <w:r w:rsidRPr="009F2022">
        <w:rPr>
          <w:rFonts w:ascii="Trebuchet MS" w:hAnsi="Trebuchet MS"/>
        </w:rPr>
        <w:t>(2022).</w:t>
      </w:r>
    </w:p>
    <w:p w:rsidR="009F2022" w:rsidRPr="009F2022" w:rsidRDefault="009F2022" w:rsidP="009F2022">
      <w:pPr>
        <w:pStyle w:val="NormalWeb"/>
        <w:rPr>
          <w:rFonts w:ascii="Trebuchet MS" w:hAnsi="Trebuchet MS"/>
        </w:rPr>
      </w:pPr>
      <w:r w:rsidRPr="009F2022">
        <w:rPr>
          <w:rFonts w:ascii="Trebuchet MS" w:hAnsi="Trebuchet MS"/>
        </w:rPr>
        <w:t xml:space="preserve">This piece is a twin to my </w:t>
      </w:r>
      <w:r>
        <w:rPr>
          <w:rFonts w:ascii="Trebuchet MS" w:hAnsi="Trebuchet MS"/>
        </w:rPr>
        <w:t xml:space="preserve">“19thC </w:t>
      </w:r>
      <w:proofErr w:type="spellStart"/>
      <w:r>
        <w:rPr>
          <w:rFonts w:ascii="Trebuchet MS" w:hAnsi="Trebuchet MS"/>
        </w:rPr>
        <w:t>cr</w:t>
      </w:r>
      <w:r w:rsidRPr="009F2022">
        <w:rPr>
          <w:rFonts w:ascii="Trebuchet MS" w:hAnsi="Trebuchet MS"/>
        </w:rPr>
        <w:t>eatives</w:t>
      </w:r>
      <w:proofErr w:type="spellEnd"/>
      <w:r w:rsidRPr="009F2022">
        <w:rPr>
          <w:rFonts w:ascii="Trebuchet MS" w:hAnsi="Trebuchet MS"/>
        </w:rPr>
        <w:t xml:space="preserve"> meet Theory</w:t>
      </w:r>
      <w:r>
        <w:rPr>
          <w:rFonts w:ascii="Trebuchet MS" w:hAnsi="Trebuchet MS"/>
        </w:rPr>
        <w:t xml:space="preserve">” </w:t>
      </w:r>
      <w:proofErr w:type="gramStart"/>
      <w:r>
        <w:rPr>
          <w:rFonts w:ascii="Trebuchet MS" w:hAnsi="Trebuchet MS"/>
        </w:rPr>
        <w:t>and  my</w:t>
      </w:r>
      <w:proofErr w:type="gramEnd"/>
      <w:r>
        <w:rPr>
          <w:rFonts w:ascii="Trebuchet MS" w:hAnsi="Trebuchet MS"/>
        </w:rPr>
        <w:t xml:space="preserve">  wider-ranging “Critical </w:t>
      </w:r>
      <w:r w:rsidRPr="009F2022">
        <w:rPr>
          <w:rFonts w:ascii="Trebuchet MS" w:hAnsi="Trebuchet MS"/>
        </w:rPr>
        <w:t xml:space="preserve"> Theory, Etc: A</w:t>
      </w:r>
      <w:r>
        <w:rPr>
          <w:rFonts w:ascii="Trebuchet MS" w:hAnsi="Trebuchet MS"/>
        </w:rPr>
        <w:t xml:space="preserve"> push back”</w:t>
      </w:r>
      <w:r w:rsidRPr="009F2022">
        <w:rPr>
          <w:rFonts w:ascii="Trebuchet MS" w:hAnsi="Trebuchet MS"/>
        </w:rPr>
        <w:t xml:space="preserve">, </w:t>
      </w:r>
      <w:r w:rsidR="003D57EE">
        <w:rPr>
          <w:rFonts w:ascii="Trebuchet MS" w:hAnsi="Trebuchet MS"/>
        </w:rPr>
        <w:t xml:space="preserve">on Theory and </w:t>
      </w:r>
      <w:r w:rsidRPr="009F2022">
        <w:rPr>
          <w:rFonts w:ascii="Trebuchet MS" w:hAnsi="Trebuchet MS"/>
        </w:rPr>
        <w:t>Identity Politics and more.</w:t>
      </w:r>
    </w:p>
    <w:p w:rsidR="009F2022" w:rsidRPr="009F2022" w:rsidRDefault="009F2022" w:rsidP="009F2022">
      <w:pPr>
        <w:pStyle w:val="NormalWeb"/>
        <w:rPr>
          <w:rFonts w:ascii="Trebuchet MS" w:hAnsi="Trebuchet MS"/>
        </w:rPr>
      </w:pPr>
      <w:bookmarkStart w:id="0" w:name="Contents"/>
      <w:bookmarkEnd w:id="0"/>
      <w:r w:rsidRPr="009F2022">
        <w:rPr>
          <w:rStyle w:val="Strong"/>
          <w:rFonts w:ascii="Trebuchet MS" w:hAnsi="Trebuchet MS"/>
        </w:rPr>
        <w:t>Contents</w:t>
      </w:r>
      <w:r w:rsidRPr="009F2022">
        <w:rPr>
          <w:rFonts w:ascii="Trebuchet MS" w:hAnsi="Trebuchet MS"/>
        </w:rPr>
        <w:br/>
      </w:r>
      <w:hyperlink w:anchor="Background" w:history="1">
        <w:r w:rsidRPr="0074275E">
          <w:rPr>
            <w:rStyle w:val="Hyperlink"/>
            <w:rFonts w:ascii="Trebuchet MS" w:hAnsi="Trebuchet MS"/>
          </w:rPr>
          <w:t xml:space="preserve">Background: Edward </w:t>
        </w:r>
        <w:proofErr w:type="spellStart"/>
        <w:r w:rsidRPr="0074275E">
          <w:rPr>
            <w:rStyle w:val="Hyperlink"/>
            <w:rFonts w:ascii="Trebuchet MS" w:hAnsi="Trebuchet MS"/>
          </w:rPr>
          <w:t>Said’s</w:t>
        </w:r>
        <w:proofErr w:type="spellEnd"/>
        <w:r w:rsidRPr="0074275E">
          <w:rPr>
            <w:rStyle w:val="Hyperlink"/>
            <w:rFonts w:ascii="Trebuchet MS" w:hAnsi="Trebuchet MS"/>
            <w:i/>
          </w:rPr>
          <w:t xml:space="preserve"> </w:t>
        </w:r>
        <w:proofErr w:type="spellStart"/>
        <w:r w:rsidRPr="0074275E">
          <w:rPr>
            <w:rStyle w:val="Hyperlink"/>
            <w:rFonts w:ascii="Trebuchet MS" w:hAnsi="Trebuchet MS"/>
            <w:i/>
          </w:rPr>
          <w:t>Or</w:t>
        </w:r>
        <w:r w:rsidRPr="0074275E">
          <w:rPr>
            <w:rStyle w:val="Hyperlink"/>
            <w:rFonts w:ascii="Trebuchet MS" w:hAnsi="Trebuchet MS"/>
            <w:i/>
          </w:rPr>
          <w:t>i</w:t>
        </w:r>
        <w:r w:rsidRPr="0074275E">
          <w:rPr>
            <w:rStyle w:val="Hyperlink"/>
            <w:rFonts w:ascii="Trebuchet MS" w:hAnsi="Trebuchet MS"/>
            <w:i/>
          </w:rPr>
          <w:t>entalism</w:t>
        </w:r>
        <w:proofErr w:type="spellEnd"/>
        <w:r w:rsidRPr="0074275E">
          <w:rPr>
            <w:rStyle w:val="Hyperlink"/>
            <w:rFonts w:ascii="Trebuchet MS" w:hAnsi="Trebuchet MS"/>
          </w:rPr>
          <w:t xml:space="preserve"> and Theory</w:t>
        </w:r>
      </w:hyperlink>
      <w:r w:rsidRPr="009F2022">
        <w:rPr>
          <w:rFonts w:ascii="Trebuchet MS" w:hAnsi="Trebuchet MS"/>
        </w:rPr>
        <w:br/>
      </w:r>
      <w:hyperlink w:anchor="PNPDH24" w:history="1">
        <w:r w:rsidRPr="0074275E">
          <w:rPr>
            <w:rStyle w:val="Hyperlink"/>
            <w:rFonts w:ascii="Trebuchet MS" w:hAnsi="Trebuchet MS"/>
          </w:rPr>
          <w:t>Philpot, North, QMDH &amp; Empi</w:t>
        </w:r>
        <w:r w:rsidRPr="0074275E">
          <w:rPr>
            <w:rStyle w:val="Hyperlink"/>
            <w:rFonts w:ascii="Trebuchet MS" w:hAnsi="Trebuchet MS"/>
          </w:rPr>
          <w:t>r</w:t>
        </w:r>
        <w:r w:rsidRPr="0074275E">
          <w:rPr>
            <w:rStyle w:val="Hyperlink"/>
            <w:rFonts w:ascii="Trebuchet MS" w:hAnsi="Trebuchet MS"/>
          </w:rPr>
          <w:t>e Exhibition, c1924</w:t>
        </w:r>
      </w:hyperlink>
      <w:r w:rsidRPr="009F2022">
        <w:rPr>
          <w:rFonts w:ascii="Trebuchet MS" w:hAnsi="Trebuchet MS"/>
        </w:rPr>
        <w:br/>
      </w:r>
      <w:hyperlink w:anchor="PNL29" w:history="1">
        <w:r w:rsidRPr="0074275E">
          <w:rPr>
            <w:rStyle w:val="Hyperlink"/>
            <w:rFonts w:ascii="Trebuchet MS" w:hAnsi="Trebuchet MS"/>
          </w:rPr>
          <w:t>Philpot, North</w:t>
        </w:r>
        <w:r w:rsidRPr="0074275E">
          <w:rPr>
            <w:rStyle w:val="Hyperlink"/>
            <w:rFonts w:ascii="Trebuchet MS" w:hAnsi="Trebuchet MS"/>
          </w:rPr>
          <w:t>,</w:t>
        </w:r>
        <w:r w:rsidRPr="0074275E">
          <w:rPr>
            <w:rStyle w:val="Hyperlink"/>
            <w:rFonts w:ascii="Trebuchet MS" w:hAnsi="Trebuchet MS"/>
          </w:rPr>
          <w:t xml:space="preserve"> </w:t>
        </w:r>
        <w:proofErr w:type="spellStart"/>
        <w:r w:rsidRPr="0074275E">
          <w:rPr>
            <w:rStyle w:val="Hyperlink"/>
            <w:rFonts w:ascii="Trebuchet MS" w:hAnsi="Trebuchet MS"/>
          </w:rPr>
          <w:t>Lutyens</w:t>
        </w:r>
        <w:proofErr w:type="spellEnd"/>
        <w:r w:rsidRPr="0074275E">
          <w:rPr>
            <w:rStyle w:val="Hyperlink"/>
            <w:rFonts w:ascii="Trebuchet MS" w:hAnsi="Trebuchet MS"/>
          </w:rPr>
          <w:t xml:space="preserve"> &amp; New Delhi, c1929</w:t>
        </w:r>
      </w:hyperlink>
      <w:r w:rsidR="0074275E">
        <w:rPr>
          <w:rFonts w:ascii="Trebuchet MS" w:hAnsi="Trebuchet MS"/>
        </w:rPr>
        <w:br/>
      </w:r>
      <w:hyperlink w:anchor="Afterlife" w:history="1">
        <w:proofErr w:type="spellStart"/>
        <w:r w:rsidR="0074275E" w:rsidRPr="0074275E">
          <w:rPr>
            <w:rStyle w:val="Hyperlink"/>
            <w:rFonts w:ascii="Trebuchet MS" w:hAnsi="Trebuchet MS"/>
          </w:rPr>
          <w:t>Lut</w:t>
        </w:r>
        <w:r w:rsidR="0074275E" w:rsidRPr="0074275E">
          <w:rPr>
            <w:rStyle w:val="Hyperlink"/>
            <w:rFonts w:ascii="Trebuchet MS" w:hAnsi="Trebuchet MS"/>
          </w:rPr>
          <w:t>y</w:t>
        </w:r>
        <w:r w:rsidR="0074275E" w:rsidRPr="0074275E">
          <w:rPr>
            <w:rStyle w:val="Hyperlink"/>
            <w:rFonts w:ascii="Trebuchet MS" w:hAnsi="Trebuchet MS"/>
          </w:rPr>
          <w:t>ens</w:t>
        </w:r>
        <w:proofErr w:type="spellEnd"/>
        <w:r w:rsidR="0074275E" w:rsidRPr="0074275E">
          <w:rPr>
            <w:rStyle w:val="Hyperlink"/>
            <w:rFonts w:ascii="Trebuchet MS" w:hAnsi="Trebuchet MS"/>
          </w:rPr>
          <w:t xml:space="preserve"> New Delhi Afterlife, 2024</w:t>
        </w:r>
      </w:hyperlink>
      <w:r w:rsidRPr="009F2022">
        <w:rPr>
          <w:rFonts w:ascii="Trebuchet MS" w:hAnsi="Trebuchet MS"/>
        </w:rPr>
        <w:br/>
      </w:r>
      <w:hyperlink w:anchor="App1" w:history="1">
        <w:r w:rsidRPr="0074275E">
          <w:rPr>
            <w:rStyle w:val="Hyperlink"/>
            <w:rFonts w:ascii="Trebuchet MS" w:hAnsi="Trebuchet MS"/>
          </w:rPr>
          <w:t xml:space="preserve">Appendix </w:t>
        </w:r>
        <w:r w:rsidRPr="0074275E">
          <w:rPr>
            <w:rStyle w:val="Hyperlink"/>
            <w:rFonts w:ascii="Trebuchet MS" w:hAnsi="Trebuchet MS"/>
          </w:rPr>
          <w:t>#</w:t>
        </w:r>
        <w:r w:rsidRPr="0074275E">
          <w:rPr>
            <w:rStyle w:val="Hyperlink"/>
            <w:rFonts w:ascii="Trebuchet MS" w:hAnsi="Trebuchet MS"/>
          </w:rPr>
          <w:t xml:space="preserve">1: </w:t>
        </w:r>
        <w:proofErr w:type="spellStart"/>
        <w:r w:rsidRPr="0074275E">
          <w:rPr>
            <w:rStyle w:val="Hyperlink"/>
            <w:rFonts w:ascii="Trebuchet MS" w:hAnsi="Trebuchet MS"/>
          </w:rPr>
          <w:t>Hatt</w:t>
        </w:r>
        <w:proofErr w:type="spellEnd"/>
        <w:r w:rsidRPr="0074275E">
          <w:rPr>
            <w:rStyle w:val="Hyperlink"/>
            <w:rFonts w:ascii="Trebuchet MS" w:hAnsi="Trebuchet MS"/>
          </w:rPr>
          <w:t xml:space="preserve"> and </w:t>
        </w:r>
        <w:proofErr w:type="spellStart"/>
        <w:r w:rsidRPr="0074275E">
          <w:rPr>
            <w:rStyle w:val="Hyperlink"/>
            <w:rFonts w:ascii="Trebuchet MS" w:hAnsi="Trebuchet MS"/>
          </w:rPr>
          <w:t>Klonk</w:t>
        </w:r>
        <w:proofErr w:type="spellEnd"/>
        <w:r w:rsidRPr="0074275E">
          <w:rPr>
            <w:rStyle w:val="Hyperlink"/>
            <w:rFonts w:ascii="Trebuchet MS" w:hAnsi="Trebuchet MS"/>
          </w:rPr>
          <w:t xml:space="preserve"> on </w:t>
        </w:r>
        <w:proofErr w:type="spellStart"/>
        <w:r w:rsidRPr="0074275E">
          <w:rPr>
            <w:rStyle w:val="Hyperlink"/>
            <w:rFonts w:ascii="Trebuchet MS" w:hAnsi="Trebuchet MS"/>
          </w:rPr>
          <w:t>Orientalism</w:t>
        </w:r>
        <w:proofErr w:type="spellEnd"/>
        <w:r w:rsidRPr="0074275E">
          <w:rPr>
            <w:rStyle w:val="Hyperlink"/>
            <w:rFonts w:ascii="Trebuchet MS" w:hAnsi="Trebuchet MS"/>
          </w:rPr>
          <w:t xml:space="preserve"> and humanism</w:t>
        </w:r>
      </w:hyperlink>
      <w:r w:rsidRPr="009F2022">
        <w:rPr>
          <w:rFonts w:ascii="Trebuchet MS" w:hAnsi="Trebuchet MS"/>
        </w:rPr>
        <w:br/>
      </w:r>
      <w:hyperlink w:anchor="App2" w:history="1">
        <w:r w:rsidRPr="0074275E">
          <w:rPr>
            <w:rStyle w:val="Hyperlink"/>
            <w:rFonts w:ascii="Trebuchet MS" w:hAnsi="Trebuchet MS"/>
          </w:rPr>
          <w:t xml:space="preserve">Appendix </w:t>
        </w:r>
        <w:r w:rsidRPr="0074275E">
          <w:rPr>
            <w:rStyle w:val="Hyperlink"/>
            <w:rFonts w:ascii="Trebuchet MS" w:hAnsi="Trebuchet MS"/>
          </w:rPr>
          <w:t>#</w:t>
        </w:r>
        <w:r w:rsidRPr="0074275E">
          <w:rPr>
            <w:rStyle w:val="Hyperlink"/>
            <w:rFonts w:ascii="Trebuchet MS" w:hAnsi="Trebuchet MS"/>
          </w:rPr>
          <w:t>2: Online research resources</w:t>
        </w:r>
      </w:hyperlink>
      <w:r w:rsidR="00153922">
        <w:rPr>
          <w:rFonts w:ascii="Trebuchet MS" w:hAnsi="Trebuchet MS"/>
        </w:rPr>
        <w:br/>
      </w:r>
      <w:hyperlink w:anchor="App3" w:history="1">
        <w:r w:rsidR="00153922" w:rsidRPr="00153922">
          <w:rPr>
            <w:rStyle w:val="Hyperlink"/>
            <w:rFonts w:ascii="Trebuchet MS" w:hAnsi="Trebuchet MS"/>
            <w:b/>
          </w:rPr>
          <w:t xml:space="preserve">Appendix #3:1911 Coronation celebrations, London </w:t>
        </w:r>
        <w:r w:rsidR="00153922" w:rsidRPr="00153922">
          <w:rPr>
            <w:rStyle w:val="Hyperlink"/>
            <w:rFonts w:ascii="Trebuchet MS" w:hAnsi="Trebuchet MS"/>
            <w:b/>
          </w:rPr>
          <w:t>&amp;</w:t>
        </w:r>
        <w:r w:rsidR="00153922" w:rsidRPr="00153922">
          <w:rPr>
            <w:rStyle w:val="Hyperlink"/>
            <w:rFonts w:ascii="Trebuchet MS" w:hAnsi="Trebuchet MS"/>
            <w:b/>
          </w:rPr>
          <w:t xml:space="preserve"> India</w:t>
        </w:r>
      </w:hyperlink>
      <w:r w:rsidR="00153922">
        <w:rPr>
          <w:rFonts w:ascii="Trebuchet MS" w:hAnsi="Trebuchet MS"/>
        </w:rPr>
        <w:br/>
      </w:r>
    </w:p>
    <w:p w:rsidR="009F2022" w:rsidRPr="009F2022" w:rsidRDefault="009F2022" w:rsidP="009F2022">
      <w:pPr>
        <w:pStyle w:val="NormalWeb"/>
        <w:rPr>
          <w:rFonts w:ascii="Trebuchet MS" w:hAnsi="Trebuchet MS"/>
        </w:rPr>
      </w:pPr>
      <w:bookmarkStart w:id="1" w:name="Background"/>
      <w:bookmarkEnd w:id="1"/>
      <w:r w:rsidRPr="009F2022">
        <w:rPr>
          <w:rFonts w:ascii="Trebuchet MS" w:hAnsi="Trebuchet MS"/>
        </w:rPr>
        <w:t xml:space="preserve">Background: Edward </w:t>
      </w:r>
      <w:proofErr w:type="spellStart"/>
      <w:r w:rsidRPr="009F2022">
        <w:rPr>
          <w:rFonts w:ascii="Trebuchet MS" w:hAnsi="Trebuchet MS"/>
        </w:rPr>
        <w:t>Said’s</w:t>
      </w:r>
      <w:proofErr w:type="spellEnd"/>
      <w:r w:rsidRPr="009F2022">
        <w:rPr>
          <w:rFonts w:ascii="Trebuchet MS" w:hAnsi="Trebuchet MS"/>
        </w:rPr>
        <w:t xml:space="preserve"> </w:t>
      </w:r>
      <w:proofErr w:type="spellStart"/>
      <w:r w:rsidRPr="009F2022">
        <w:rPr>
          <w:rStyle w:val="Emphasis"/>
          <w:rFonts w:ascii="Trebuchet MS" w:hAnsi="Trebuchet MS"/>
        </w:rPr>
        <w:t>Orientalism</w:t>
      </w:r>
      <w:proofErr w:type="spellEnd"/>
      <w:r w:rsidRPr="009F2022">
        <w:rPr>
          <w:rFonts w:ascii="Trebuchet MS" w:hAnsi="Trebuchet MS"/>
        </w:rPr>
        <w:br/>
        <w:t>Colonial Theory has one main hero, the fascinating but flawed writer, Edward Said, whose book,</w:t>
      </w:r>
      <w:r w:rsidRPr="009F2022">
        <w:rPr>
          <w:rStyle w:val="Emphasis"/>
          <w:rFonts w:ascii="Trebuchet MS" w:hAnsi="Trebuchet MS"/>
        </w:rPr>
        <w:t xml:space="preserve"> </w:t>
      </w:r>
      <w:proofErr w:type="spellStart"/>
      <w:r w:rsidRPr="009F2022">
        <w:rPr>
          <w:rStyle w:val="Emphasis"/>
          <w:rFonts w:ascii="Trebuchet MS" w:hAnsi="Trebuchet MS"/>
        </w:rPr>
        <w:t>Orientalism</w:t>
      </w:r>
      <w:proofErr w:type="spellEnd"/>
      <w:r w:rsidRPr="009F2022">
        <w:rPr>
          <w:rStyle w:val="Emphasis"/>
          <w:rFonts w:ascii="Trebuchet MS" w:hAnsi="Trebuchet MS"/>
        </w:rPr>
        <w:t>: Western conceptions of the Orient</w:t>
      </w:r>
      <w:r w:rsidRPr="009F2022">
        <w:rPr>
          <w:rFonts w:ascii="Trebuchet MS" w:hAnsi="Trebuchet MS"/>
        </w:rPr>
        <w:t xml:space="preserve"> (1978 and 1995), applied Michel Foucault’s thinking on hegemonic narratives to explain how Britain thought about and ruled India. (Foucault was himself </w:t>
      </w:r>
      <w:proofErr w:type="spellStart"/>
      <w:r w:rsidRPr="009F2022">
        <w:rPr>
          <w:rFonts w:ascii="Trebuchet MS" w:hAnsi="Trebuchet MS"/>
        </w:rPr>
        <w:t>channelling</w:t>
      </w:r>
      <w:proofErr w:type="spellEnd"/>
      <w:r w:rsidRPr="009F2022">
        <w:rPr>
          <w:rFonts w:ascii="Trebuchet MS" w:hAnsi="Trebuchet MS"/>
        </w:rPr>
        <w:t xml:space="preserve"> Hegel, Nietzsche, Marx, Husserl, and Heidegger, as he considered the histories of madness, imprisonment and homosexuality.)</w:t>
      </w:r>
      <w:r w:rsidR="002C0BE4">
        <w:rPr>
          <w:rFonts w:ascii="Trebuchet MS" w:hAnsi="Trebuchet MS"/>
        </w:rPr>
        <w:t xml:space="preserve"> (For more on Theory in all its manifestations: see my matching essay, “</w:t>
      </w:r>
      <w:r w:rsidR="002C0BE4" w:rsidRPr="00F47B50">
        <w:rPr>
          <w:rFonts w:ascii="Trebuchet MS" w:hAnsi="Trebuchet MS"/>
        </w:rPr>
        <w:t>Critical Theory, Etc: An interrogation</w:t>
      </w:r>
      <w:r w:rsidR="002C0BE4">
        <w:rPr>
          <w:rFonts w:ascii="Trebuchet MS" w:hAnsi="Trebuchet MS"/>
        </w:rPr>
        <w:t>”.)</w:t>
      </w:r>
    </w:p>
    <w:p w:rsidR="009F2022" w:rsidRPr="009F2022" w:rsidRDefault="009F2022" w:rsidP="009F2022">
      <w:pPr>
        <w:pStyle w:val="NormalWeb"/>
        <w:rPr>
          <w:rFonts w:ascii="Trebuchet MS" w:hAnsi="Trebuchet MS"/>
        </w:rPr>
      </w:pPr>
      <w:r w:rsidRPr="009F2022">
        <w:rPr>
          <w:rFonts w:ascii="Trebuchet MS" w:hAnsi="Trebuchet MS"/>
        </w:rPr>
        <w:lastRenderedPageBreak/>
        <w:t xml:space="preserve">Colonial Theory asserts that Britain’s elite augmented its muscular authority in India by the deployment of beliefs about British racial and cultural superiority over the Indian “Other”. This elite narrative achieved hegemony in the imperial mind and </w:t>
      </w:r>
      <w:proofErr w:type="spellStart"/>
      <w:r w:rsidRPr="009F2022">
        <w:rPr>
          <w:rFonts w:ascii="Trebuchet MS" w:hAnsi="Trebuchet MS"/>
        </w:rPr>
        <w:t>legitimised</w:t>
      </w:r>
      <w:proofErr w:type="spellEnd"/>
      <w:r w:rsidRPr="009F2022">
        <w:rPr>
          <w:rFonts w:ascii="Trebuchet MS" w:hAnsi="Trebuchet MS"/>
        </w:rPr>
        <w:t xml:space="preserve"> the British Empire’s ambition of indoctrinating its subject peoples with the same ideas. In my contrary view, the totality of hegemony never happened. Indeed, like the rest of Critical Theory, Colonial Theory (and its subset, Post-colonial Theory) achieve their effect only if their adherents are taught to ignore the awkward facts of history.</w:t>
      </w:r>
    </w:p>
    <w:p w:rsidR="009F2022" w:rsidRPr="009F2022" w:rsidRDefault="009436FA" w:rsidP="009F2022">
      <w:pPr>
        <w:pStyle w:val="NormalWeb"/>
        <w:rPr>
          <w:rFonts w:ascii="Trebuchet MS" w:hAnsi="Trebuchet MS"/>
        </w:rPr>
      </w:pPr>
      <w:hyperlink w:anchor="Contents" w:history="1">
        <w:r w:rsidR="009F2022" w:rsidRPr="009F2022">
          <w:rPr>
            <w:rStyle w:val="Hyperlink"/>
            <w:rFonts w:ascii="Trebuchet MS" w:hAnsi="Trebuchet MS"/>
          </w:rPr>
          <w:t>Back t</w:t>
        </w:r>
        <w:r w:rsidR="009F2022" w:rsidRPr="009F2022">
          <w:rPr>
            <w:rStyle w:val="Hyperlink"/>
            <w:rFonts w:ascii="Trebuchet MS" w:hAnsi="Trebuchet MS"/>
          </w:rPr>
          <w:t>o</w:t>
        </w:r>
        <w:r w:rsidR="009F2022" w:rsidRPr="009F2022">
          <w:rPr>
            <w:rStyle w:val="Hyperlink"/>
            <w:rFonts w:ascii="Trebuchet MS" w:hAnsi="Trebuchet MS"/>
          </w:rPr>
          <w:t xml:space="preserve"> Contents</w:t>
        </w:r>
      </w:hyperlink>
    </w:p>
    <w:p w:rsidR="009F2022" w:rsidRPr="009F2022" w:rsidRDefault="0074275E" w:rsidP="009F2022">
      <w:pPr>
        <w:pStyle w:val="NormalWeb"/>
        <w:rPr>
          <w:rFonts w:ascii="Trebuchet MS" w:hAnsi="Trebuchet MS"/>
        </w:rPr>
      </w:pPr>
      <w:bookmarkStart w:id="2" w:name="PNPDH24"/>
      <w:bookmarkEnd w:id="2"/>
      <w:r>
        <w:rPr>
          <w:rFonts w:ascii="Trebuchet MS" w:hAnsi="Trebuchet MS"/>
        </w:rPr>
        <w:t>Philpot, North &amp; Dolls’ House</w:t>
      </w:r>
      <w:proofErr w:type="gramStart"/>
      <w:r>
        <w:rPr>
          <w:rFonts w:ascii="Trebuchet MS" w:hAnsi="Trebuchet MS"/>
        </w:rPr>
        <w:t>,</w:t>
      </w:r>
      <w:r w:rsidR="009F2022" w:rsidRPr="009F2022">
        <w:rPr>
          <w:rFonts w:ascii="Trebuchet MS" w:hAnsi="Trebuchet MS"/>
        </w:rPr>
        <w:t>1924</w:t>
      </w:r>
      <w:proofErr w:type="gramEnd"/>
      <w:r w:rsidR="009F2022" w:rsidRPr="009F2022">
        <w:rPr>
          <w:rFonts w:ascii="Trebuchet MS" w:hAnsi="Trebuchet MS"/>
        </w:rPr>
        <w:t xml:space="preserve"> and 1925</w:t>
      </w:r>
    </w:p>
    <w:p w:rsidR="009F2022" w:rsidRPr="009F2022" w:rsidRDefault="009F2022" w:rsidP="009F2022">
      <w:pPr>
        <w:pStyle w:val="NormalWeb"/>
        <w:rPr>
          <w:rFonts w:ascii="Trebuchet MS" w:hAnsi="Trebuchet MS"/>
        </w:rPr>
      </w:pPr>
      <w:r w:rsidRPr="009F2022">
        <w:rPr>
          <w:rFonts w:ascii="Trebuchet MS" w:hAnsi="Trebuchet MS"/>
        </w:rPr>
        <w:t xml:space="preserve">The artists Glyn Philpot and Stanley Kennedy North (SKN) were amongst the hundreds of well-known </w:t>
      </w:r>
      <w:proofErr w:type="spellStart"/>
      <w:r w:rsidRPr="009F2022">
        <w:rPr>
          <w:rFonts w:ascii="Trebuchet MS" w:hAnsi="Trebuchet MS"/>
        </w:rPr>
        <w:t>creatives</w:t>
      </w:r>
      <w:proofErr w:type="spellEnd"/>
      <w:r w:rsidRPr="009F2022">
        <w:rPr>
          <w:rFonts w:ascii="Trebuchet MS" w:hAnsi="Trebuchet MS"/>
        </w:rPr>
        <w:t xml:space="preserve"> (and firms) commissioned by the architect Sir Edwin </w:t>
      </w:r>
      <w:proofErr w:type="spellStart"/>
      <w:r w:rsidRPr="009F2022">
        <w:rPr>
          <w:rFonts w:ascii="Trebuchet MS" w:hAnsi="Trebuchet MS"/>
        </w:rPr>
        <w:t>Lutyens</w:t>
      </w:r>
      <w:proofErr w:type="spellEnd"/>
      <w:r w:rsidRPr="009F2022">
        <w:rPr>
          <w:rFonts w:ascii="Trebuchet MS" w:hAnsi="Trebuchet MS"/>
        </w:rPr>
        <w:t xml:space="preserve"> to contribute designs for the Queen Mary’s Dolls’ House displayed for the summers of 1925 and 1925 at The Empire Exhibition at </w:t>
      </w:r>
      <w:proofErr w:type="spellStart"/>
      <w:r w:rsidRPr="009F2022">
        <w:rPr>
          <w:rFonts w:ascii="Trebuchet MS" w:hAnsi="Trebuchet MS"/>
        </w:rPr>
        <w:t>Wembley</w:t>
      </w:r>
      <w:proofErr w:type="spellEnd"/>
      <w:r w:rsidRPr="009F2022">
        <w:rPr>
          <w:rFonts w:ascii="Trebuchet MS" w:hAnsi="Trebuchet MS"/>
        </w:rPr>
        <w:t xml:space="preserve"> (and eve</w:t>
      </w:r>
      <w:r w:rsidR="00E53DF7">
        <w:rPr>
          <w:rFonts w:ascii="Trebuchet MS" w:hAnsi="Trebuchet MS"/>
        </w:rPr>
        <w:t xml:space="preserve">r since at Windsor Castle). </w:t>
      </w:r>
      <w:r w:rsidR="00D5242B">
        <w:rPr>
          <w:rStyle w:val="FootnoteReference"/>
          <w:rFonts w:ascii="Trebuchet MS" w:hAnsi="Trebuchet MS"/>
        </w:rPr>
        <w:footnoteReference w:id="2"/>
      </w:r>
      <w:r w:rsidRPr="009F2022">
        <w:rPr>
          <w:rFonts w:ascii="Trebuchet MS" w:hAnsi="Trebuchet MS"/>
        </w:rPr>
        <w:t>Empire is at the heart of this story. From the Critical Theory point of view, every Briton with any imperial involvement is culpable.</w:t>
      </w:r>
    </w:p>
    <w:p w:rsidR="009F2022" w:rsidRPr="009F2022" w:rsidRDefault="009F2022" w:rsidP="009F2022">
      <w:pPr>
        <w:pStyle w:val="NormalWeb"/>
        <w:rPr>
          <w:rFonts w:ascii="Trebuchet MS" w:hAnsi="Trebuchet MS"/>
        </w:rPr>
      </w:pPr>
      <w:proofErr w:type="spellStart"/>
      <w:r w:rsidRPr="009F2022">
        <w:rPr>
          <w:rFonts w:ascii="Trebuchet MS" w:hAnsi="Trebuchet MS"/>
        </w:rPr>
        <w:t>Lutyens</w:t>
      </w:r>
      <w:proofErr w:type="spellEnd"/>
      <w:r w:rsidRPr="009F2022">
        <w:rPr>
          <w:rFonts w:ascii="Trebuchet MS" w:hAnsi="Trebuchet MS"/>
        </w:rPr>
        <w:t xml:space="preserve"> was collaborating with a committee in cahoots with Princess Marie Louise, the granddaughter of the late Queen Victoria (the Empress of India). Marie Louise was the instigator of this gift for her childhood friend, Mary, the Queen Consort (whose husband was George V, King of the United Kingdom of Great Britain and Ireland and Emperor of India).</w:t>
      </w:r>
    </w:p>
    <w:p w:rsidR="009F2022" w:rsidRPr="009F2022" w:rsidRDefault="009F2022" w:rsidP="009F2022">
      <w:pPr>
        <w:pStyle w:val="NormalWeb"/>
        <w:rPr>
          <w:rFonts w:ascii="Trebuchet MS" w:hAnsi="Trebuchet MS"/>
        </w:rPr>
      </w:pPr>
      <w:r w:rsidRPr="009F2022">
        <w:rPr>
          <w:rFonts w:ascii="Trebuchet MS" w:hAnsi="Trebuchet MS"/>
        </w:rPr>
        <w:t>Philpot decorated the ceiling of one of the Dolls’ House bedrooms, whilst SKN painted the frieze depicting the King and Queen’s 1911 Coronation procession which decorated the room in Windsor Castle in which the Dolls’ House was eventually displayed. (</w:t>
      </w:r>
      <w:r w:rsidR="004F519E">
        <w:rPr>
          <w:rFonts w:ascii="Trebuchet MS" w:hAnsi="Trebuchet MS"/>
        </w:rPr>
        <w:t xml:space="preserve">SKN made a rocking horse for the Dolls’ House, to that might have been seen at the </w:t>
      </w:r>
      <w:proofErr w:type="spellStart"/>
      <w:r w:rsidR="004F519E">
        <w:rPr>
          <w:rFonts w:ascii="Trebuchet MS" w:hAnsi="Trebuchet MS"/>
        </w:rPr>
        <w:t>Wembley</w:t>
      </w:r>
      <w:proofErr w:type="spellEnd"/>
      <w:r w:rsidR="004F519E">
        <w:rPr>
          <w:rFonts w:ascii="Trebuchet MS" w:hAnsi="Trebuchet MS"/>
        </w:rPr>
        <w:t xml:space="preserve"> Empire Exhibition. Also: see Appendix #3 on the 1911 Coronation celebrations in London and India.)</w:t>
      </w:r>
    </w:p>
    <w:p w:rsidR="009F2022" w:rsidRPr="009F2022" w:rsidRDefault="009F2022" w:rsidP="009F2022">
      <w:pPr>
        <w:pStyle w:val="NormalWeb"/>
        <w:rPr>
          <w:rFonts w:ascii="Trebuchet MS" w:hAnsi="Trebuchet MS"/>
        </w:rPr>
      </w:pPr>
      <w:r w:rsidRPr="009F2022">
        <w:rPr>
          <w:rFonts w:ascii="Trebuchet MS" w:hAnsi="Trebuchet MS"/>
        </w:rPr>
        <w:lastRenderedPageBreak/>
        <w:t>The Exhibition was a standout feature in what was plainly imperial propaganda. It was part of the narrative – the storyboard and mindset - by which the British Empire aimed to bind its peoples to London’s elite manipulations at home and abroad.</w:t>
      </w:r>
    </w:p>
    <w:p w:rsidR="009F2022" w:rsidRPr="009F2022" w:rsidRDefault="009F2022" w:rsidP="009F2022">
      <w:pPr>
        <w:pStyle w:val="NormalWeb"/>
        <w:rPr>
          <w:rFonts w:ascii="Trebuchet MS" w:hAnsi="Trebuchet MS"/>
        </w:rPr>
      </w:pPr>
      <w:r w:rsidRPr="009F2022">
        <w:rPr>
          <w:rFonts w:ascii="Trebuchet MS" w:hAnsi="Trebuchet MS"/>
        </w:rPr>
        <w:t xml:space="preserve">Contrary to Colonial Theory’s account of how these processes work, The London White Patriarchy didn’t have it all their own way. In the 1920s the British imperial ambition was battling against powerful headwinds of socialism at home and nationalism in its dominions overseas. In India’s case, late 19th and early 20th Century British policy perhaps only pretended to its stated intention of </w:t>
      </w:r>
      <w:proofErr w:type="spellStart"/>
      <w:r w:rsidRPr="009F2022">
        <w:rPr>
          <w:rFonts w:ascii="Trebuchet MS" w:hAnsi="Trebuchet MS"/>
        </w:rPr>
        <w:t>Indianising</w:t>
      </w:r>
      <w:proofErr w:type="spellEnd"/>
      <w:r w:rsidRPr="009F2022">
        <w:rPr>
          <w:rFonts w:ascii="Trebuchet MS" w:hAnsi="Trebuchet MS"/>
        </w:rPr>
        <w:t xml:space="preserve"> government. Anyway, the British moves, whatever their intention, seemed only to fuel Indian nationalism. Thus do hegemonic utterances and policies become their own second-worst worst enemies (after their prime victims, of course)</w:t>
      </w:r>
      <w:proofErr w:type="gramStart"/>
      <w:r w:rsidRPr="009F2022">
        <w:rPr>
          <w:rFonts w:ascii="Trebuchet MS" w:hAnsi="Trebuchet MS"/>
        </w:rPr>
        <w:t>.</w:t>
      </w:r>
      <w:proofErr w:type="gramEnd"/>
    </w:p>
    <w:p w:rsidR="009F2022" w:rsidRPr="009F2022" w:rsidRDefault="009F2022" w:rsidP="009F2022">
      <w:pPr>
        <w:pStyle w:val="NormalWeb"/>
        <w:rPr>
          <w:rFonts w:ascii="Trebuchet MS" w:hAnsi="Trebuchet MS"/>
        </w:rPr>
      </w:pPr>
      <w:r w:rsidRPr="009F2022">
        <w:rPr>
          <w:rFonts w:ascii="Trebuchet MS" w:hAnsi="Trebuchet MS"/>
        </w:rPr>
        <w:t>What we know from these years is that Britain’s elite hegemony of narrative and government, if it ever existed, certainly didn’t last. Indian Independence and Partition arrived in 1946. That is all that matters to fatally undermine the power of Critical Theory’s core assertion about Empire. Elite hegemonies aren’t total and don’t stick.</w:t>
      </w:r>
    </w:p>
    <w:p w:rsidR="009F2022" w:rsidRPr="009F2022" w:rsidRDefault="009F2022" w:rsidP="009F2022">
      <w:pPr>
        <w:pStyle w:val="NormalWeb"/>
        <w:rPr>
          <w:rFonts w:ascii="Trebuchet MS" w:hAnsi="Trebuchet MS"/>
        </w:rPr>
      </w:pPr>
      <w:r w:rsidRPr="009F2022">
        <w:rPr>
          <w:rFonts w:ascii="Trebuchet MS" w:hAnsi="Trebuchet MS"/>
        </w:rPr>
        <w:t xml:space="preserve">In their day, Philpot (and North) </w:t>
      </w:r>
      <w:proofErr w:type="spellStart"/>
      <w:r w:rsidRPr="009F2022">
        <w:rPr>
          <w:rFonts w:ascii="Trebuchet MS" w:hAnsi="Trebuchet MS"/>
        </w:rPr>
        <w:t>uncontroversially</w:t>
      </w:r>
      <w:proofErr w:type="spellEnd"/>
      <w:r w:rsidRPr="009F2022">
        <w:rPr>
          <w:rFonts w:ascii="Trebuchet MS" w:hAnsi="Trebuchet MS"/>
        </w:rPr>
        <w:t xml:space="preserve"> and even respectably could have been imperialists or anti-imperialists, or not much bothered either way.</w:t>
      </w:r>
    </w:p>
    <w:p w:rsidR="009F2022" w:rsidRPr="009F2022" w:rsidRDefault="009F2022" w:rsidP="009F2022">
      <w:pPr>
        <w:pStyle w:val="NormalWeb"/>
        <w:rPr>
          <w:rFonts w:ascii="Trebuchet MS" w:hAnsi="Trebuchet MS"/>
        </w:rPr>
      </w:pPr>
      <w:r w:rsidRPr="009F2022">
        <w:rPr>
          <w:rFonts w:ascii="Trebuchet MS" w:hAnsi="Trebuchet MS"/>
        </w:rPr>
        <w:t xml:space="preserve">It matters that in the Britain and India of the 1920s neither “conservative” imperialist nor “progressive” anti-imperialist thought was compulsory and curricular (was not hegemonic). Actually, Critical Theory anti-imperialism has now become curricular and all-but compulsory (hegemonic) in what we might call soft-authoritarian Western liberal states. The Theorists educated the educators who now dominate in schools and universities, and have done so for long enough to be powerful in media, publishing, and museum and gallery circles. This is situation won’t last, provided independent minds fight back against hegemony. (Actually, such thinkers have only to obey </w:t>
      </w:r>
      <w:proofErr w:type="spellStart"/>
      <w:r w:rsidRPr="009F2022">
        <w:rPr>
          <w:rFonts w:ascii="Trebuchet MS" w:hAnsi="Trebuchet MS"/>
        </w:rPr>
        <w:t>Said’s</w:t>
      </w:r>
      <w:proofErr w:type="spellEnd"/>
      <w:r w:rsidRPr="009F2022">
        <w:rPr>
          <w:rFonts w:ascii="Trebuchet MS" w:hAnsi="Trebuchet MS"/>
        </w:rPr>
        <w:t xml:space="preserve"> clarion call to slough off “discourses of power, ideological fictions – [William Blake's] mind-forged manacles [which] are all too easily made, applied and guarded. Said is thinking of “</w:t>
      </w:r>
      <w:proofErr w:type="spellStart"/>
      <w:r w:rsidRPr="009F2022">
        <w:rPr>
          <w:rFonts w:ascii="Trebuchet MS" w:hAnsi="Trebuchet MS"/>
        </w:rPr>
        <w:t>Orientalism</w:t>
      </w:r>
      <w:proofErr w:type="spellEnd"/>
      <w:r w:rsidRPr="009F2022">
        <w:rPr>
          <w:rFonts w:ascii="Trebuchet MS" w:hAnsi="Trebuchet MS"/>
        </w:rPr>
        <w:t>”, but he might just as well have been thinking of Theory.</w:t>
      </w:r>
    </w:p>
    <w:p w:rsidR="009F2022" w:rsidRPr="009F2022" w:rsidRDefault="009F2022" w:rsidP="009F2022">
      <w:pPr>
        <w:pStyle w:val="NormalWeb"/>
        <w:rPr>
          <w:rFonts w:ascii="Trebuchet MS" w:hAnsi="Trebuchet MS"/>
        </w:rPr>
      </w:pPr>
      <w:r w:rsidRPr="009F2022">
        <w:rPr>
          <w:rFonts w:ascii="Trebuchet MS" w:hAnsi="Trebuchet MS"/>
        </w:rPr>
        <w:t xml:space="preserve">This issue swam into my view in particular when I saw a 2022 </w:t>
      </w:r>
      <w:proofErr w:type="spellStart"/>
      <w:r w:rsidRPr="009F2022">
        <w:rPr>
          <w:rFonts w:ascii="Trebuchet MS" w:hAnsi="Trebuchet MS"/>
        </w:rPr>
        <w:t>Pallant</w:t>
      </w:r>
      <w:proofErr w:type="spellEnd"/>
      <w:r w:rsidRPr="009F2022">
        <w:rPr>
          <w:rFonts w:ascii="Trebuchet MS" w:hAnsi="Trebuchet MS"/>
        </w:rPr>
        <w:t xml:space="preserve"> Gallery show of the artist Glyn Philpot’s work, and read the accompanying monograph, </w:t>
      </w:r>
      <w:r w:rsidRPr="009F2022">
        <w:rPr>
          <w:rStyle w:val="Emphasis"/>
          <w:rFonts w:ascii="Trebuchet MS" w:hAnsi="Trebuchet MS"/>
        </w:rPr>
        <w:t>Glyn Philpot: Flesh and Spirit</w:t>
      </w:r>
      <w:r w:rsidRPr="009F2022">
        <w:rPr>
          <w:rFonts w:ascii="Trebuchet MS" w:hAnsi="Trebuchet MS"/>
        </w:rPr>
        <w:t xml:space="preserve"> (2022). Its account owed a good deal to Critical Theory’s Colonial Theory, and also to its views on Gender Theory, Queer Theory, and Race Theory (especially but not only racial stereotyping). I should stress that Critical Theory is a fairly useful account of the power relations it reviews, but it is far too simplistic to serve well as the main prism to view history or the present world.</w:t>
      </w:r>
    </w:p>
    <w:p w:rsidR="009F2022" w:rsidRPr="009F2022" w:rsidRDefault="009F2022" w:rsidP="009F2022">
      <w:pPr>
        <w:pStyle w:val="NormalWeb"/>
        <w:rPr>
          <w:rFonts w:ascii="Trebuchet MS" w:hAnsi="Trebuchet MS"/>
        </w:rPr>
      </w:pPr>
      <w:r w:rsidRPr="009F2022">
        <w:rPr>
          <w:rFonts w:ascii="Trebuchet MS" w:hAnsi="Trebuchet MS"/>
        </w:rPr>
        <w:t xml:space="preserve">My critique of the </w:t>
      </w:r>
      <w:proofErr w:type="spellStart"/>
      <w:r w:rsidRPr="009F2022">
        <w:rPr>
          <w:rFonts w:ascii="Trebuchet MS" w:hAnsi="Trebuchet MS"/>
        </w:rPr>
        <w:t>Pallant’s</w:t>
      </w:r>
      <w:proofErr w:type="spellEnd"/>
      <w:r w:rsidRPr="009F2022">
        <w:rPr>
          <w:rFonts w:ascii="Trebuchet MS" w:hAnsi="Trebuchet MS"/>
        </w:rPr>
        <w:t xml:space="preserve"> view of the Critical Theory view of the Empire and the arts begins by noting that artists in the 1920s would have had no difficulty in finding reasons to be highly suspicious of the British Empire. There was Mary Kingsley’s </w:t>
      </w:r>
      <w:r w:rsidRPr="009F2022">
        <w:rPr>
          <w:rFonts w:ascii="Trebuchet MS" w:hAnsi="Trebuchet MS"/>
        </w:rPr>
        <w:lastRenderedPageBreak/>
        <w:t>writing for a start. But very much in the mainstream – as a beacon of hope or a threat – were Ramsay Macdonald’s thoughts on these matters.</w:t>
      </w:r>
    </w:p>
    <w:p w:rsidR="009F2022" w:rsidRPr="009F2022" w:rsidRDefault="009F2022" w:rsidP="009F2022">
      <w:pPr>
        <w:pStyle w:val="NormalWeb"/>
        <w:rPr>
          <w:rFonts w:ascii="Trebuchet MS" w:hAnsi="Trebuchet MS"/>
        </w:rPr>
      </w:pPr>
      <w:r w:rsidRPr="009F2022">
        <w:rPr>
          <w:rFonts w:ascii="Trebuchet MS" w:hAnsi="Trebuchet MS"/>
        </w:rPr>
        <w:t>Macdonald was Prime Minister in 1924 when the Queen’s Dolls’ House was exhibited at the Empire Exhibition. But his views were available to Philpot and North from well before their Dolls’ House days.</w:t>
      </w:r>
    </w:p>
    <w:p w:rsidR="009F2022" w:rsidRPr="009F2022" w:rsidRDefault="009F2022" w:rsidP="009F2022">
      <w:pPr>
        <w:pStyle w:val="NormalWeb"/>
        <w:rPr>
          <w:rFonts w:ascii="Trebuchet MS" w:hAnsi="Trebuchet MS"/>
        </w:rPr>
      </w:pPr>
      <w:r w:rsidRPr="009F2022">
        <w:rPr>
          <w:rFonts w:ascii="Trebuchet MS" w:hAnsi="Trebuchet MS"/>
        </w:rPr>
        <w:t xml:space="preserve">The stereotypical, dogmatic Colonial Theory view was and is that Britain’s elite somehow choked-off all opinion that was </w:t>
      </w:r>
      <w:proofErr w:type="spellStart"/>
      <w:r w:rsidRPr="009F2022">
        <w:rPr>
          <w:rFonts w:ascii="Trebuchet MS" w:hAnsi="Trebuchet MS"/>
        </w:rPr>
        <w:t>sceptical</w:t>
      </w:r>
      <w:proofErr w:type="spellEnd"/>
      <w:r w:rsidRPr="009F2022">
        <w:rPr>
          <w:rFonts w:ascii="Trebuchet MS" w:hAnsi="Trebuchet MS"/>
        </w:rPr>
        <w:t xml:space="preserve"> about Empire. The plain record of events shows this to be nonsense.</w:t>
      </w:r>
    </w:p>
    <w:p w:rsidR="009F2022" w:rsidRPr="009F2022" w:rsidRDefault="009F2022" w:rsidP="009F2022">
      <w:pPr>
        <w:pStyle w:val="NormalWeb"/>
        <w:rPr>
          <w:rFonts w:ascii="Trebuchet MS" w:hAnsi="Trebuchet MS"/>
        </w:rPr>
      </w:pPr>
      <w:r w:rsidRPr="009F2022">
        <w:rPr>
          <w:rFonts w:ascii="Trebuchet MS" w:hAnsi="Trebuchet MS"/>
        </w:rPr>
        <w:t xml:space="preserve">Ramsay Macdonald and his wife had visited India several times in the early 1900s and their London home was open to colonial nationalists from several countries. He had been leader of the </w:t>
      </w:r>
      <w:proofErr w:type="spellStart"/>
      <w:r w:rsidRPr="009F2022">
        <w:rPr>
          <w:rFonts w:ascii="Trebuchet MS" w:hAnsi="Trebuchet MS"/>
        </w:rPr>
        <w:t>Labour</w:t>
      </w:r>
      <w:proofErr w:type="spellEnd"/>
      <w:r w:rsidRPr="009F2022">
        <w:rPr>
          <w:rFonts w:ascii="Trebuchet MS" w:hAnsi="Trebuchet MS"/>
        </w:rPr>
        <w:t xml:space="preserve"> Party since 1911. Importantly for our story, in 1910 he had published </w:t>
      </w:r>
      <w:r w:rsidRPr="009F2022">
        <w:rPr>
          <w:rStyle w:val="Emphasis"/>
          <w:rFonts w:ascii="Trebuchet MS" w:hAnsi="Trebuchet MS"/>
        </w:rPr>
        <w:t>India Awakening</w:t>
      </w:r>
      <w:r w:rsidRPr="009F2022">
        <w:rPr>
          <w:rFonts w:ascii="Trebuchet MS" w:hAnsi="Trebuchet MS"/>
        </w:rPr>
        <w:t xml:space="preserve">. It is, as well as being well-informed, a beautiful book and speaks to the powerful effect India made on him as it did on many Europeans who found Indian religious and cultural life almost overwhelmingly impressive. (They were like the late Queen Victoria in having these feelings as we shall see in an </w:t>
      </w:r>
      <w:hyperlink r:id="rId7" w:tgtFrame="_blank" w:history="1">
        <w:r w:rsidRPr="009F2022">
          <w:rPr>
            <w:rStyle w:val="Hyperlink"/>
            <w:rFonts w:ascii="Trebuchet MS" w:hAnsi="Trebuchet MS"/>
          </w:rPr>
          <w:t>older historical story I pursue elsewhere</w:t>
        </w:r>
      </w:hyperlink>
      <w:r w:rsidRPr="009F2022">
        <w:rPr>
          <w:rFonts w:ascii="Trebuchet MS" w:hAnsi="Trebuchet MS"/>
        </w:rPr>
        <w:t>.)</w:t>
      </w:r>
    </w:p>
    <w:p w:rsidR="009F2022" w:rsidRPr="009F2022" w:rsidRDefault="009F2022" w:rsidP="009F2022">
      <w:pPr>
        <w:pStyle w:val="NormalWeb"/>
        <w:rPr>
          <w:rFonts w:ascii="Trebuchet MS" w:hAnsi="Trebuchet MS"/>
        </w:rPr>
      </w:pPr>
      <w:r w:rsidRPr="009F2022">
        <w:rPr>
          <w:rStyle w:val="Emphasis"/>
          <w:rFonts w:ascii="Trebuchet MS" w:hAnsi="Trebuchet MS"/>
        </w:rPr>
        <w:t xml:space="preserve">India Awakening’s </w:t>
      </w:r>
      <w:r w:rsidRPr="009F2022">
        <w:rPr>
          <w:rFonts w:ascii="Trebuchet MS" w:hAnsi="Trebuchet MS"/>
        </w:rPr>
        <w:t xml:space="preserve">main policy thought is that India must be prepared for self-government. In the book’s time it was not remotely a new thought, but would predominate very soon. Recent Viceroys had floated and even promoted it (perhaps sometimes as a feint, or a </w:t>
      </w:r>
      <w:proofErr w:type="spellStart"/>
      <w:r w:rsidRPr="009F2022">
        <w:rPr>
          <w:rFonts w:ascii="Trebuchet MS" w:hAnsi="Trebuchet MS"/>
        </w:rPr>
        <w:t>performative</w:t>
      </w:r>
      <w:proofErr w:type="spellEnd"/>
      <w:r w:rsidRPr="009F2022">
        <w:rPr>
          <w:rFonts w:ascii="Trebuchet MS" w:hAnsi="Trebuchet MS"/>
        </w:rPr>
        <w:t xml:space="preserve"> gesture) and more were to come. Since self-government was the obvious precursor to full independence, it was natural to aim to persuade elite and public opinion of the former without scaring people with too much emphasis on the latter.</w:t>
      </w:r>
    </w:p>
    <w:p w:rsidR="009F2022" w:rsidRPr="009F2022" w:rsidRDefault="009F2022" w:rsidP="009F2022">
      <w:pPr>
        <w:pStyle w:val="NormalWeb"/>
        <w:rPr>
          <w:rFonts w:ascii="Trebuchet MS" w:hAnsi="Trebuchet MS"/>
        </w:rPr>
      </w:pPr>
      <w:r w:rsidRPr="009F2022">
        <w:rPr>
          <w:rFonts w:ascii="Trebuchet MS" w:hAnsi="Trebuchet MS"/>
        </w:rPr>
        <w:t xml:space="preserve">In the year of Macdonald’s book, 1910, a group of well-known </w:t>
      </w:r>
      <w:proofErr w:type="spellStart"/>
      <w:r w:rsidRPr="009F2022">
        <w:rPr>
          <w:rFonts w:ascii="Trebuchet MS" w:hAnsi="Trebuchet MS"/>
        </w:rPr>
        <w:t>creatives</w:t>
      </w:r>
      <w:proofErr w:type="spellEnd"/>
      <w:r w:rsidRPr="009F2022">
        <w:rPr>
          <w:rFonts w:ascii="Trebuchet MS" w:hAnsi="Trebuchet MS"/>
        </w:rPr>
        <w:t xml:space="preserve"> – native Britons and native Indians, some of them inter-married – formed the India Society in London. It thrived as a multi-media </w:t>
      </w:r>
      <w:proofErr w:type="spellStart"/>
      <w:r w:rsidRPr="009F2022">
        <w:rPr>
          <w:rFonts w:ascii="Trebuchet MS" w:hAnsi="Trebuchet MS"/>
        </w:rPr>
        <w:t>organiser</w:t>
      </w:r>
      <w:proofErr w:type="spellEnd"/>
      <w:r w:rsidRPr="009F2022">
        <w:rPr>
          <w:rFonts w:ascii="Trebuchet MS" w:hAnsi="Trebuchet MS"/>
        </w:rPr>
        <w:t xml:space="preserve">, with Indian song and dance a feature of touring shows. It was dedicated to promoting India’s indigenous arts and crafts, very much along </w:t>
      </w:r>
      <w:proofErr w:type="spellStart"/>
      <w:r w:rsidRPr="009F2022">
        <w:rPr>
          <w:rFonts w:ascii="Trebuchet MS" w:hAnsi="Trebuchet MS"/>
        </w:rPr>
        <w:t>Ruskinite</w:t>
      </w:r>
      <w:proofErr w:type="spellEnd"/>
      <w:r w:rsidRPr="009F2022">
        <w:rPr>
          <w:rFonts w:ascii="Trebuchet MS" w:hAnsi="Trebuchet MS"/>
        </w:rPr>
        <w:t>, Arts and Crafts lines.</w:t>
      </w:r>
    </w:p>
    <w:p w:rsidR="009F2022" w:rsidRPr="009F2022" w:rsidRDefault="009F2022" w:rsidP="009F2022">
      <w:pPr>
        <w:pStyle w:val="NormalWeb"/>
        <w:rPr>
          <w:rFonts w:ascii="Trebuchet MS" w:hAnsi="Trebuchet MS"/>
        </w:rPr>
      </w:pPr>
      <w:r w:rsidRPr="009F2022">
        <w:rPr>
          <w:rFonts w:ascii="Trebuchet MS" w:hAnsi="Trebuchet MS"/>
        </w:rPr>
        <w:t xml:space="preserve">In June 1924, at the </w:t>
      </w:r>
      <w:proofErr w:type="spellStart"/>
      <w:r w:rsidRPr="009F2022">
        <w:rPr>
          <w:rFonts w:ascii="Trebuchet MS" w:hAnsi="Trebuchet MS"/>
        </w:rPr>
        <w:t>Wembley</w:t>
      </w:r>
      <w:proofErr w:type="spellEnd"/>
      <w:r w:rsidRPr="009F2022">
        <w:rPr>
          <w:rFonts w:ascii="Trebuchet MS" w:hAnsi="Trebuchet MS"/>
        </w:rPr>
        <w:t xml:space="preserve"> Empire Exhibition, the India Society </w:t>
      </w:r>
      <w:proofErr w:type="spellStart"/>
      <w:r w:rsidRPr="009F2022">
        <w:rPr>
          <w:rFonts w:ascii="Trebuchet MS" w:hAnsi="Trebuchet MS"/>
        </w:rPr>
        <w:t>organised</w:t>
      </w:r>
      <w:proofErr w:type="spellEnd"/>
      <w:r w:rsidRPr="009F2022">
        <w:rPr>
          <w:rFonts w:ascii="Trebuchet MS" w:hAnsi="Trebuchet MS"/>
        </w:rPr>
        <w:t xml:space="preserve"> a conference on Indian Art at the British Empire Exhibition.</w:t>
      </w:r>
    </w:p>
    <w:p w:rsidR="009F2022" w:rsidRPr="009F2022" w:rsidRDefault="009F2022" w:rsidP="009F2022">
      <w:pPr>
        <w:pStyle w:val="NormalWeb"/>
        <w:rPr>
          <w:rFonts w:ascii="Trebuchet MS" w:hAnsi="Trebuchet MS"/>
        </w:rPr>
      </w:pPr>
      <w:r w:rsidRPr="009F2022">
        <w:rPr>
          <w:rFonts w:ascii="Trebuchet MS" w:hAnsi="Trebuchet MS"/>
        </w:rPr>
        <w:t xml:space="preserve">Macdonald’s book, and the India Society’s show, had plenty of time to fructify before our two artists accepted their mildly imperial Dolls’ House commissions. </w:t>
      </w:r>
      <w:r w:rsidRPr="009F2022">
        <w:rPr>
          <w:rStyle w:val="Emphasis"/>
          <w:rFonts w:ascii="Trebuchet MS" w:hAnsi="Trebuchet MS"/>
        </w:rPr>
        <w:t>India Awakening</w:t>
      </w:r>
      <w:r w:rsidRPr="009F2022">
        <w:rPr>
          <w:rFonts w:ascii="Trebuchet MS" w:hAnsi="Trebuchet MS"/>
        </w:rPr>
        <w:t xml:space="preserve"> and the India Society were going with the flow of thinking and events.</w:t>
      </w:r>
    </w:p>
    <w:p w:rsidR="009F2022" w:rsidRPr="009F2022" w:rsidRDefault="009F2022" w:rsidP="009F2022">
      <w:pPr>
        <w:pStyle w:val="NormalWeb"/>
        <w:rPr>
          <w:rFonts w:ascii="Trebuchet MS" w:hAnsi="Trebuchet MS"/>
        </w:rPr>
      </w:pPr>
      <w:r w:rsidRPr="009F2022">
        <w:rPr>
          <w:rFonts w:ascii="Trebuchet MS" w:hAnsi="Trebuchet MS"/>
        </w:rPr>
        <w:t>Nonetheless, there were ironies aplenty.</w:t>
      </w:r>
    </w:p>
    <w:p w:rsidR="009F2022" w:rsidRPr="009F2022" w:rsidRDefault="009436FA" w:rsidP="009F2022">
      <w:pPr>
        <w:pStyle w:val="NormalWeb"/>
        <w:rPr>
          <w:rFonts w:ascii="Trebuchet MS" w:hAnsi="Trebuchet MS"/>
        </w:rPr>
      </w:pPr>
      <w:hyperlink w:anchor="Contents" w:history="1">
        <w:r w:rsidR="009F2022" w:rsidRPr="009F2022">
          <w:rPr>
            <w:rStyle w:val="Hyperlink"/>
            <w:rFonts w:ascii="Trebuchet MS" w:hAnsi="Trebuchet MS"/>
          </w:rPr>
          <w:t>Back to Co</w:t>
        </w:r>
        <w:r w:rsidR="009F2022" w:rsidRPr="009F2022">
          <w:rPr>
            <w:rStyle w:val="Hyperlink"/>
            <w:rFonts w:ascii="Trebuchet MS" w:hAnsi="Trebuchet MS"/>
          </w:rPr>
          <w:t>n</w:t>
        </w:r>
        <w:r w:rsidR="009F2022" w:rsidRPr="009F2022">
          <w:rPr>
            <w:rStyle w:val="Hyperlink"/>
            <w:rFonts w:ascii="Trebuchet MS" w:hAnsi="Trebuchet MS"/>
          </w:rPr>
          <w:t>tents</w:t>
        </w:r>
      </w:hyperlink>
    </w:p>
    <w:p w:rsidR="009F2022" w:rsidRPr="009F2022" w:rsidRDefault="009F2022" w:rsidP="009F2022">
      <w:pPr>
        <w:pStyle w:val="NormalWeb"/>
        <w:rPr>
          <w:rFonts w:ascii="Trebuchet MS" w:hAnsi="Trebuchet MS"/>
        </w:rPr>
      </w:pPr>
      <w:bookmarkStart w:id="3" w:name="PNL29"/>
      <w:bookmarkEnd w:id="3"/>
      <w:r w:rsidRPr="009F2022">
        <w:rPr>
          <w:rFonts w:ascii="Trebuchet MS" w:hAnsi="Trebuchet MS"/>
        </w:rPr>
        <w:t xml:space="preserve">Philpot, North, </w:t>
      </w:r>
      <w:proofErr w:type="spellStart"/>
      <w:r w:rsidRPr="009F2022">
        <w:rPr>
          <w:rFonts w:ascii="Trebuchet MS" w:hAnsi="Trebuchet MS"/>
        </w:rPr>
        <w:t>Lutyens</w:t>
      </w:r>
      <w:proofErr w:type="spellEnd"/>
      <w:r w:rsidRPr="009F2022">
        <w:rPr>
          <w:rFonts w:ascii="Trebuchet MS" w:hAnsi="Trebuchet MS"/>
        </w:rPr>
        <w:t xml:space="preserve"> &amp; New Delhi, c1929</w:t>
      </w:r>
    </w:p>
    <w:p w:rsidR="009F2022" w:rsidRPr="009F2022" w:rsidRDefault="009F2022" w:rsidP="009F2022">
      <w:pPr>
        <w:pStyle w:val="NormalWeb"/>
        <w:rPr>
          <w:rFonts w:ascii="Trebuchet MS" w:hAnsi="Trebuchet MS"/>
        </w:rPr>
      </w:pPr>
      <w:r w:rsidRPr="009F2022">
        <w:rPr>
          <w:rFonts w:ascii="Trebuchet MS" w:hAnsi="Trebuchet MS"/>
        </w:rPr>
        <w:lastRenderedPageBreak/>
        <w:t xml:space="preserve">It is at least ironic that as Britain prepared tentatively to loosen its grip on </w:t>
      </w:r>
      <w:proofErr w:type="gramStart"/>
      <w:r w:rsidRPr="009F2022">
        <w:rPr>
          <w:rFonts w:ascii="Trebuchet MS" w:hAnsi="Trebuchet MS"/>
        </w:rPr>
        <w:t>India,</w:t>
      </w:r>
      <w:proofErr w:type="gramEnd"/>
      <w:r w:rsidRPr="009F2022">
        <w:rPr>
          <w:rFonts w:ascii="Trebuchet MS" w:hAnsi="Trebuchet MS"/>
        </w:rPr>
        <w:t xml:space="preserve"> it built a vast palace for the Viceroy in Delhi, which would be reborn as New Delhi.</w:t>
      </w:r>
    </w:p>
    <w:p w:rsidR="009F2022" w:rsidRPr="009F2022" w:rsidRDefault="009F2022" w:rsidP="009F2022">
      <w:pPr>
        <w:pStyle w:val="NormalWeb"/>
        <w:rPr>
          <w:rFonts w:ascii="Trebuchet MS" w:hAnsi="Trebuchet MS"/>
        </w:rPr>
      </w:pPr>
      <w:r w:rsidRPr="009F2022">
        <w:rPr>
          <w:rFonts w:ascii="Trebuchet MS" w:hAnsi="Trebuchet MS"/>
        </w:rPr>
        <w:t xml:space="preserve">The Viceroy’s House was the very image of imperial grandeur. But actually, it also took its place more naturally as a seat of modern government. In the context of </w:t>
      </w:r>
      <w:proofErr w:type="spellStart"/>
      <w:r w:rsidRPr="009F2022">
        <w:rPr>
          <w:rFonts w:ascii="Trebuchet MS" w:hAnsi="Trebuchet MS"/>
        </w:rPr>
        <w:t>Lutyens’s</w:t>
      </w:r>
      <w:proofErr w:type="spellEnd"/>
      <w:r w:rsidRPr="009F2022">
        <w:rPr>
          <w:rFonts w:ascii="Trebuchet MS" w:hAnsi="Trebuchet MS"/>
        </w:rPr>
        <w:t xml:space="preserve"> entire plan for New Delhi, it was an expression of trends in India which were </w:t>
      </w:r>
      <w:proofErr w:type="gramStart"/>
      <w:r w:rsidRPr="009F2022">
        <w:rPr>
          <w:rFonts w:ascii="Trebuchet MS" w:hAnsi="Trebuchet MS"/>
        </w:rPr>
        <w:t>both ancient</w:t>
      </w:r>
      <w:proofErr w:type="gramEnd"/>
      <w:r w:rsidRPr="009F2022">
        <w:rPr>
          <w:rFonts w:ascii="Trebuchet MS" w:hAnsi="Trebuchet MS"/>
        </w:rPr>
        <w:t xml:space="preserve"> and modern, rationalist and spiritual. The proof of this is that about 70 years after it was opened, India became fully independent and the building and its wider purlieus were re-purposed as the country’s Presidential Palace and seat of administration, which it remains to this day.</w:t>
      </w:r>
    </w:p>
    <w:p w:rsidR="009F2022" w:rsidRPr="009F2022" w:rsidRDefault="009F2022" w:rsidP="009F2022">
      <w:pPr>
        <w:pStyle w:val="NormalWeb"/>
        <w:rPr>
          <w:rFonts w:ascii="Trebuchet MS" w:hAnsi="Trebuchet MS"/>
        </w:rPr>
      </w:pPr>
      <w:r w:rsidRPr="009F2022">
        <w:rPr>
          <w:rFonts w:ascii="Trebuchet MS" w:hAnsi="Trebuchet MS"/>
        </w:rPr>
        <w:t xml:space="preserve">The New Delhi project was started in 1911. The grand scheme, as </w:t>
      </w:r>
      <w:proofErr w:type="spellStart"/>
      <w:r w:rsidRPr="009F2022">
        <w:rPr>
          <w:rFonts w:ascii="Trebuchet MS" w:hAnsi="Trebuchet MS"/>
        </w:rPr>
        <w:t>Lutyens</w:t>
      </w:r>
      <w:proofErr w:type="spellEnd"/>
      <w:r w:rsidRPr="009F2022">
        <w:rPr>
          <w:rFonts w:ascii="Trebuchet MS" w:hAnsi="Trebuchet MS"/>
        </w:rPr>
        <w:t xml:space="preserve"> intended, had something of the scale of </w:t>
      </w:r>
      <w:proofErr w:type="spellStart"/>
      <w:r w:rsidRPr="009F2022">
        <w:rPr>
          <w:rFonts w:ascii="Trebuchet MS" w:hAnsi="Trebuchet MS"/>
        </w:rPr>
        <w:t>L'Enfant’s</w:t>
      </w:r>
      <w:proofErr w:type="spellEnd"/>
      <w:r w:rsidRPr="009F2022">
        <w:rPr>
          <w:rFonts w:ascii="Trebuchet MS" w:hAnsi="Trebuchet MS"/>
        </w:rPr>
        <w:t xml:space="preserve"> late 18</w:t>
      </w:r>
      <w:r w:rsidRPr="009F2022">
        <w:rPr>
          <w:rFonts w:ascii="Trebuchet MS" w:hAnsi="Trebuchet MS"/>
          <w:vertAlign w:val="superscript"/>
        </w:rPr>
        <w:t>th</w:t>
      </w:r>
      <w:r w:rsidRPr="009F2022">
        <w:rPr>
          <w:rFonts w:ascii="Trebuchet MS" w:hAnsi="Trebuchet MS"/>
        </w:rPr>
        <w:t xml:space="preserve"> Century plan for Washington, DC (which was at once idealistic and totalitarian). </w:t>
      </w:r>
      <w:proofErr w:type="spellStart"/>
      <w:r w:rsidRPr="009F2022">
        <w:rPr>
          <w:rFonts w:ascii="Trebuchet MS" w:hAnsi="Trebuchet MS"/>
        </w:rPr>
        <w:t>Lutyens’s</w:t>
      </w:r>
      <w:proofErr w:type="spellEnd"/>
      <w:r w:rsidRPr="009F2022">
        <w:rPr>
          <w:rFonts w:ascii="Trebuchet MS" w:hAnsi="Trebuchet MS"/>
        </w:rPr>
        <w:t xml:space="preserve"> wider thinking for Delhi – the city layout but also the bungalow estates in his plan - had a dash of the British late 19</w:t>
      </w:r>
      <w:r w:rsidRPr="009F2022">
        <w:rPr>
          <w:rFonts w:ascii="Trebuchet MS" w:hAnsi="Trebuchet MS"/>
          <w:vertAlign w:val="superscript"/>
        </w:rPr>
        <w:t>th</w:t>
      </w:r>
      <w:r w:rsidRPr="009F2022">
        <w:rPr>
          <w:rFonts w:ascii="Trebuchet MS" w:hAnsi="Trebuchet MS"/>
        </w:rPr>
        <w:t xml:space="preserve"> Century Port Sunlight, or the early 20</w:t>
      </w:r>
      <w:r w:rsidRPr="009F2022">
        <w:rPr>
          <w:rFonts w:ascii="Trebuchet MS" w:hAnsi="Trebuchet MS"/>
          <w:vertAlign w:val="superscript"/>
        </w:rPr>
        <w:t>th</w:t>
      </w:r>
      <w:r w:rsidRPr="009F2022">
        <w:rPr>
          <w:rFonts w:ascii="Trebuchet MS" w:hAnsi="Trebuchet MS"/>
        </w:rPr>
        <w:t xml:space="preserve"> Century Hampstead Garden City: both had Arts and Crafts in their romances. It also had something about it that wasn’t about the Western world at all.</w:t>
      </w:r>
    </w:p>
    <w:p w:rsidR="009F2022" w:rsidRPr="009F2022" w:rsidRDefault="009F2022" w:rsidP="009F2022">
      <w:pPr>
        <w:pStyle w:val="NormalWeb"/>
        <w:rPr>
          <w:rFonts w:ascii="Trebuchet MS" w:hAnsi="Trebuchet MS"/>
        </w:rPr>
      </w:pPr>
      <w:r w:rsidRPr="009F2022">
        <w:rPr>
          <w:rFonts w:ascii="Trebuchet MS" w:hAnsi="Trebuchet MS"/>
        </w:rPr>
        <w:t xml:space="preserve">Architectural opinion seems to be that </w:t>
      </w:r>
      <w:proofErr w:type="spellStart"/>
      <w:r w:rsidRPr="009F2022">
        <w:rPr>
          <w:rFonts w:ascii="Trebuchet MS" w:hAnsi="Trebuchet MS"/>
        </w:rPr>
        <w:t>Lutyens</w:t>
      </w:r>
      <w:proofErr w:type="spellEnd"/>
      <w:r w:rsidRPr="009F2022">
        <w:rPr>
          <w:rFonts w:ascii="Trebuchet MS" w:hAnsi="Trebuchet MS"/>
        </w:rPr>
        <w:t xml:space="preserve"> had a taste for the formalities of European Renaissance architecture and disparaged the sub-continent’s own tastes. It was at the direct bidding of the alien white patriarchy in the form of Viceroy </w:t>
      </w:r>
      <w:proofErr w:type="spellStart"/>
      <w:r w:rsidRPr="009F2022">
        <w:rPr>
          <w:rFonts w:ascii="Trebuchet MS" w:hAnsi="Trebuchet MS"/>
        </w:rPr>
        <w:t>Hardinge</w:t>
      </w:r>
      <w:proofErr w:type="spellEnd"/>
      <w:r w:rsidRPr="009F2022">
        <w:rPr>
          <w:rFonts w:ascii="Trebuchet MS" w:hAnsi="Trebuchet MS"/>
        </w:rPr>
        <w:t xml:space="preserve"> (in office, 1910-1916), and against </w:t>
      </w:r>
      <w:proofErr w:type="spellStart"/>
      <w:r w:rsidRPr="009F2022">
        <w:rPr>
          <w:rFonts w:ascii="Trebuchet MS" w:hAnsi="Trebuchet MS"/>
        </w:rPr>
        <w:t>Lutyens’s</w:t>
      </w:r>
      <w:proofErr w:type="spellEnd"/>
      <w:r w:rsidRPr="009F2022">
        <w:rPr>
          <w:rFonts w:ascii="Trebuchet MS" w:hAnsi="Trebuchet MS"/>
        </w:rPr>
        <w:t xml:space="preserve"> preference for classic Greece and Rome or English Arts and Crafts, that there were elements of </w:t>
      </w:r>
      <w:proofErr w:type="spellStart"/>
      <w:r w:rsidRPr="009F2022">
        <w:rPr>
          <w:rFonts w:ascii="Trebuchet MS" w:hAnsi="Trebuchet MS"/>
        </w:rPr>
        <w:t>Mughal</w:t>
      </w:r>
      <w:proofErr w:type="spellEnd"/>
      <w:r w:rsidRPr="009F2022">
        <w:rPr>
          <w:rFonts w:ascii="Trebuchet MS" w:hAnsi="Trebuchet MS"/>
        </w:rPr>
        <w:t xml:space="preserve"> (which is to say, ancient Islamic and Persian) and Buddhist influence throughout the palace. (</w:t>
      </w:r>
      <w:proofErr w:type="spellStart"/>
      <w:r w:rsidRPr="009F2022">
        <w:rPr>
          <w:rFonts w:ascii="Trebuchet MS" w:hAnsi="Trebuchet MS"/>
        </w:rPr>
        <w:t>Hardinge’s</w:t>
      </w:r>
      <w:proofErr w:type="spellEnd"/>
      <w:r w:rsidRPr="009F2022">
        <w:rPr>
          <w:rFonts w:ascii="Trebuchet MS" w:hAnsi="Trebuchet MS"/>
        </w:rPr>
        <w:t xml:space="preserve"> preference was in line with Anglo-Indian architectural thinking from the late 19</w:t>
      </w:r>
      <w:r w:rsidRPr="009F2022">
        <w:rPr>
          <w:rFonts w:ascii="Trebuchet MS" w:hAnsi="Trebuchet MS"/>
          <w:vertAlign w:val="superscript"/>
        </w:rPr>
        <w:t>th</w:t>
      </w:r>
      <w:r w:rsidRPr="009F2022">
        <w:rPr>
          <w:rFonts w:ascii="Trebuchet MS" w:hAnsi="Trebuchet MS"/>
        </w:rPr>
        <w:t xml:space="preserve"> Century. (See Appendix below)</w:t>
      </w:r>
    </w:p>
    <w:p w:rsidR="009F2022" w:rsidRPr="009F2022" w:rsidRDefault="009F2022" w:rsidP="009F2022">
      <w:pPr>
        <w:pStyle w:val="NormalWeb"/>
        <w:rPr>
          <w:rFonts w:ascii="Trebuchet MS" w:hAnsi="Trebuchet MS"/>
        </w:rPr>
      </w:pPr>
      <w:r w:rsidRPr="009F2022">
        <w:rPr>
          <w:rFonts w:ascii="Trebuchet MS" w:hAnsi="Trebuchet MS"/>
        </w:rPr>
        <w:t xml:space="preserve">Again, none of this is fully consonant with unreconstructed Critical Theory's </w:t>
      </w:r>
      <w:proofErr w:type="spellStart"/>
      <w:r w:rsidRPr="009F2022">
        <w:rPr>
          <w:rFonts w:ascii="Trebuchet MS" w:hAnsi="Trebuchet MS"/>
        </w:rPr>
        <w:t>Saidism</w:t>
      </w:r>
      <w:proofErr w:type="spellEnd"/>
      <w:r w:rsidRPr="009F2022">
        <w:rPr>
          <w:rFonts w:ascii="Trebuchet MS" w:hAnsi="Trebuchet MS"/>
        </w:rPr>
        <w:t xml:space="preserve"> unless one is so adamantine as to assume that any imperial concession to “native” culture is merely a deliberate misdirection or feint toward disarming nationalist Indian opinion. (It is, I concede, possible to conceive it as a case of what Theory calls Colonial Ambivalence.)</w:t>
      </w:r>
    </w:p>
    <w:p w:rsidR="009F2022" w:rsidRPr="009F2022" w:rsidRDefault="009F2022" w:rsidP="009F2022">
      <w:pPr>
        <w:pStyle w:val="NormalWeb"/>
        <w:rPr>
          <w:rFonts w:ascii="Trebuchet MS" w:hAnsi="Trebuchet MS"/>
        </w:rPr>
      </w:pPr>
      <w:r w:rsidRPr="009F2022">
        <w:rPr>
          <w:rFonts w:ascii="Trebuchet MS" w:hAnsi="Trebuchet MS"/>
        </w:rPr>
        <w:t xml:space="preserve">Philpot, a </w:t>
      </w:r>
      <w:proofErr w:type="spellStart"/>
      <w:r w:rsidRPr="009F2022">
        <w:rPr>
          <w:rFonts w:ascii="Trebuchet MS" w:hAnsi="Trebuchet MS"/>
        </w:rPr>
        <w:t>Lutyens</w:t>
      </w:r>
      <w:proofErr w:type="spellEnd"/>
      <w:r w:rsidRPr="009F2022">
        <w:rPr>
          <w:rFonts w:ascii="Trebuchet MS" w:hAnsi="Trebuchet MS"/>
        </w:rPr>
        <w:t xml:space="preserve"> connection (as noted above) and his friend and dependent, the artist Vivian Forbes, contributed to The Viceroy’s House. They probably sent in their paintings without visiting India. Stanley Kennedy North, likewise associated with </w:t>
      </w:r>
      <w:proofErr w:type="spellStart"/>
      <w:r w:rsidRPr="009F2022">
        <w:rPr>
          <w:rFonts w:ascii="Trebuchet MS" w:hAnsi="Trebuchet MS"/>
        </w:rPr>
        <w:t>Lutyens</w:t>
      </w:r>
      <w:proofErr w:type="spellEnd"/>
      <w:r w:rsidRPr="009F2022">
        <w:rPr>
          <w:rFonts w:ascii="Trebuchet MS" w:hAnsi="Trebuchet MS"/>
        </w:rPr>
        <w:t xml:space="preserve"> (see above) also worked on the Viceroy’s House, but in Delhi and in a hands-on way. True to his own artisanal, almost Arts and Crafts, roots he was tasked with unearthing and training local artisans and working out how to produce plasters which could survive the Indian climate. (The plasters did not entirely succeed.)</w:t>
      </w:r>
      <w:r w:rsidR="00D5242B">
        <w:rPr>
          <w:rStyle w:val="FootnoteReference"/>
          <w:rFonts w:ascii="Trebuchet MS" w:hAnsi="Trebuchet MS"/>
        </w:rPr>
        <w:footnoteReference w:id="3"/>
      </w:r>
    </w:p>
    <w:p w:rsidR="009F2022" w:rsidRPr="009F2022" w:rsidRDefault="009F2022" w:rsidP="009F2022">
      <w:pPr>
        <w:pStyle w:val="NormalWeb"/>
        <w:rPr>
          <w:rFonts w:ascii="Trebuchet MS" w:hAnsi="Trebuchet MS"/>
        </w:rPr>
      </w:pPr>
      <w:proofErr w:type="gramStart"/>
      <w:r w:rsidRPr="009F2022">
        <w:rPr>
          <w:rFonts w:ascii="Trebuchet MS" w:hAnsi="Trebuchet MS"/>
        </w:rPr>
        <w:lastRenderedPageBreak/>
        <w:t>So far so good.</w:t>
      </w:r>
      <w:proofErr w:type="gramEnd"/>
      <w:r w:rsidRPr="009F2022">
        <w:rPr>
          <w:rFonts w:ascii="Trebuchet MS" w:hAnsi="Trebuchet MS"/>
        </w:rPr>
        <w:t xml:space="preserve"> I am telling this story because I would like to release the </w:t>
      </w:r>
      <w:proofErr w:type="spellStart"/>
      <w:r w:rsidRPr="009F2022">
        <w:rPr>
          <w:rFonts w:ascii="Trebuchet MS" w:hAnsi="Trebuchet MS"/>
        </w:rPr>
        <w:t>Pallant’s</w:t>
      </w:r>
      <w:proofErr w:type="spellEnd"/>
      <w:r w:rsidRPr="009F2022">
        <w:rPr>
          <w:rFonts w:ascii="Trebuchet MS" w:hAnsi="Trebuchet MS"/>
        </w:rPr>
        <w:t xml:space="preserve"> Glyn Philpot (and Stanley Kennedy North too), from the charge that they were the British Empire’s useful idiots and worse. It is worth quoting at some length the </w:t>
      </w:r>
      <w:proofErr w:type="spellStart"/>
      <w:r w:rsidRPr="009F2022">
        <w:rPr>
          <w:rFonts w:ascii="Trebuchet MS" w:hAnsi="Trebuchet MS"/>
        </w:rPr>
        <w:t>Pallant</w:t>
      </w:r>
      <w:proofErr w:type="spellEnd"/>
      <w:r w:rsidRPr="009F2022">
        <w:rPr>
          <w:rFonts w:ascii="Trebuchet MS" w:hAnsi="Trebuchet MS"/>
        </w:rPr>
        <w:t xml:space="preserve"> Gallery’s </w:t>
      </w:r>
      <w:r w:rsidRPr="009F2022">
        <w:rPr>
          <w:rStyle w:val="Emphasis"/>
          <w:rFonts w:ascii="Trebuchet MS" w:hAnsi="Trebuchet MS"/>
        </w:rPr>
        <w:t>Glyn Philpot: Flesh and Spirit</w:t>
      </w:r>
      <w:r w:rsidRPr="009F2022">
        <w:rPr>
          <w:rFonts w:ascii="Trebuchet MS" w:hAnsi="Trebuchet MS"/>
        </w:rPr>
        <w:t xml:space="preserve"> (2022). The excerpt nods towards issues in cultural imperialism – Colonial and Post-Colonial Theory – in discussing Philpot’s work for </w:t>
      </w:r>
      <w:proofErr w:type="spellStart"/>
      <w:r w:rsidRPr="009F2022">
        <w:rPr>
          <w:rFonts w:ascii="Trebuchet MS" w:hAnsi="Trebuchet MS"/>
        </w:rPr>
        <w:t>Lutyens</w:t>
      </w:r>
      <w:proofErr w:type="spellEnd"/>
      <w:r w:rsidRPr="009F2022">
        <w:rPr>
          <w:rFonts w:ascii="Trebuchet MS" w:hAnsi="Trebuchet MS"/>
        </w:rPr>
        <w:t xml:space="preserve">. In a closely related matter, the </w:t>
      </w:r>
      <w:proofErr w:type="spellStart"/>
      <w:r w:rsidRPr="009F2022">
        <w:rPr>
          <w:rFonts w:ascii="Trebuchet MS" w:hAnsi="Trebuchet MS"/>
        </w:rPr>
        <w:t>Pallant</w:t>
      </w:r>
      <w:proofErr w:type="spellEnd"/>
      <w:r w:rsidRPr="009F2022">
        <w:rPr>
          <w:rFonts w:ascii="Trebuchet MS" w:hAnsi="Trebuchet MS"/>
        </w:rPr>
        <w:t xml:space="preserve"> also worries that Philpot gave in to racial stereotyping, which underpins much Theory.</w:t>
      </w:r>
    </w:p>
    <w:p w:rsidR="009F2022" w:rsidRPr="009F2022" w:rsidRDefault="009F2022" w:rsidP="009F2022">
      <w:pPr>
        <w:pStyle w:val="NormalWeb"/>
        <w:rPr>
          <w:rFonts w:ascii="Trebuchet MS" w:hAnsi="Trebuchet MS"/>
        </w:rPr>
      </w:pPr>
      <w:r w:rsidRPr="009F2022">
        <w:rPr>
          <w:rFonts w:ascii="Trebuchet MS" w:hAnsi="Trebuchet MS"/>
        </w:rPr>
        <w:t>A little background is necessary.</w:t>
      </w:r>
    </w:p>
    <w:p w:rsidR="009F2022" w:rsidRPr="009F2022" w:rsidRDefault="009F2022" w:rsidP="009F2022">
      <w:pPr>
        <w:pStyle w:val="NormalWeb"/>
        <w:rPr>
          <w:rFonts w:ascii="Trebuchet MS" w:hAnsi="Trebuchet MS"/>
        </w:rPr>
      </w:pPr>
      <w:r w:rsidRPr="009F2022">
        <w:rPr>
          <w:rFonts w:ascii="Trebuchet MS" w:hAnsi="Trebuchet MS"/>
        </w:rPr>
        <w:t xml:space="preserve">First: The </w:t>
      </w:r>
      <w:proofErr w:type="spellStart"/>
      <w:r w:rsidRPr="009F2022">
        <w:rPr>
          <w:rFonts w:ascii="Trebuchet MS" w:hAnsi="Trebuchet MS"/>
        </w:rPr>
        <w:t>Pallant</w:t>
      </w:r>
      <w:proofErr w:type="spellEnd"/>
      <w:r w:rsidRPr="009F2022">
        <w:rPr>
          <w:rFonts w:ascii="Trebuchet MS" w:hAnsi="Trebuchet MS"/>
        </w:rPr>
        <w:t xml:space="preserve"> leans heavily – indeed exclusively – on Critical Theory’s Colonial Theory as derived from Edward </w:t>
      </w:r>
      <w:proofErr w:type="spellStart"/>
      <w:r w:rsidRPr="009F2022">
        <w:rPr>
          <w:rFonts w:ascii="Trebuchet MS" w:hAnsi="Trebuchet MS"/>
        </w:rPr>
        <w:t>Said’s</w:t>
      </w:r>
      <w:proofErr w:type="spellEnd"/>
      <w:r w:rsidRPr="009F2022">
        <w:rPr>
          <w:rFonts w:ascii="Trebuchet MS" w:hAnsi="Trebuchet MS"/>
        </w:rPr>
        <w:t xml:space="preserve"> </w:t>
      </w:r>
      <w:proofErr w:type="spellStart"/>
      <w:r w:rsidRPr="009F2022">
        <w:rPr>
          <w:rStyle w:val="Emphasis"/>
          <w:rFonts w:ascii="Trebuchet MS" w:hAnsi="Trebuchet MS"/>
        </w:rPr>
        <w:t>Orientalism</w:t>
      </w:r>
      <w:proofErr w:type="spellEnd"/>
      <w:r w:rsidRPr="009F2022">
        <w:rPr>
          <w:rFonts w:ascii="Trebuchet MS" w:hAnsi="Trebuchet MS"/>
        </w:rPr>
        <w:t>.</w:t>
      </w:r>
    </w:p>
    <w:p w:rsidR="009F2022" w:rsidRPr="009F2022" w:rsidRDefault="009F2022" w:rsidP="009F2022">
      <w:pPr>
        <w:pStyle w:val="NormalWeb"/>
        <w:rPr>
          <w:rFonts w:ascii="Trebuchet MS" w:hAnsi="Trebuchet MS"/>
        </w:rPr>
      </w:pPr>
      <w:r w:rsidRPr="009F2022">
        <w:rPr>
          <w:rFonts w:ascii="Trebuchet MS" w:hAnsi="Trebuchet MS"/>
        </w:rPr>
        <w:t xml:space="preserve">Second: </w:t>
      </w:r>
      <w:proofErr w:type="spellStart"/>
      <w:r w:rsidRPr="009F2022">
        <w:rPr>
          <w:rFonts w:ascii="Trebuchet MS" w:hAnsi="Trebuchet MS"/>
        </w:rPr>
        <w:t>Lutyens</w:t>
      </w:r>
      <w:proofErr w:type="spellEnd"/>
      <w:r w:rsidRPr="009F2022">
        <w:rPr>
          <w:rFonts w:ascii="Trebuchet MS" w:hAnsi="Trebuchet MS"/>
        </w:rPr>
        <w:t xml:space="preserve"> hoped Philpot’s offering – it was for the Viceroy’s Library - would riff on </w:t>
      </w:r>
      <w:proofErr w:type="spellStart"/>
      <w:r w:rsidRPr="009F2022">
        <w:rPr>
          <w:rFonts w:ascii="Trebuchet MS" w:hAnsi="Trebuchet MS"/>
        </w:rPr>
        <w:t>Michaelangelo’s</w:t>
      </w:r>
      <w:proofErr w:type="spellEnd"/>
      <w:r w:rsidRPr="009F2022">
        <w:rPr>
          <w:rFonts w:ascii="Trebuchet MS" w:hAnsi="Trebuchet MS"/>
        </w:rPr>
        <w:t xml:space="preserve"> </w:t>
      </w:r>
      <w:r w:rsidRPr="009F2022">
        <w:rPr>
          <w:rStyle w:val="Emphasis"/>
          <w:rFonts w:ascii="Trebuchet MS" w:hAnsi="Trebuchet MS"/>
        </w:rPr>
        <w:t>Creation of Adam</w:t>
      </w:r>
      <w:r w:rsidRPr="009F2022">
        <w:rPr>
          <w:rFonts w:ascii="Trebuchet MS" w:hAnsi="Trebuchet MS"/>
        </w:rPr>
        <w:t xml:space="preserve"> (1508-12) for the Sistine Chapel. Philpot disappointed him by sending in more pagan, mythic sort of figures in a picture entitled </w:t>
      </w:r>
      <w:r w:rsidRPr="009F2022">
        <w:rPr>
          <w:rStyle w:val="Emphasis"/>
          <w:rFonts w:ascii="Trebuchet MS" w:hAnsi="Trebuchet MS"/>
        </w:rPr>
        <w:t>The Creation of Man.</w:t>
      </w:r>
      <w:r w:rsidRPr="009F2022">
        <w:rPr>
          <w:rFonts w:ascii="Trebuchet MS" w:hAnsi="Trebuchet MS"/>
        </w:rPr>
        <w:t xml:space="preserve"> (Forbes delivered an uncontroversial picture, a portrait of William Caxton, as </w:t>
      </w:r>
      <w:r w:rsidRPr="009F2022">
        <w:rPr>
          <w:rStyle w:val="Emphasis"/>
          <w:rFonts w:ascii="Trebuchet MS" w:hAnsi="Trebuchet MS"/>
        </w:rPr>
        <w:t>Inventor of the Printing Press</w:t>
      </w:r>
      <w:r w:rsidRPr="009F2022">
        <w:rPr>
          <w:rFonts w:ascii="Trebuchet MS" w:hAnsi="Trebuchet MS"/>
        </w:rPr>
        <w:t xml:space="preserve"> – and thus one of the great heroes of the Western account of the liberation of mankind.)</w:t>
      </w:r>
    </w:p>
    <w:p w:rsidR="009F2022" w:rsidRPr="009F2022" w:rsidRDefault="009F2022" w:rsidP="009F2022">
      <w:pPr>
        <w:pStyle w:val="NormalWeb"/>
        <w:rPr>
          <w:rFonts w:ascii="Trebuchet MS" w:hAnsi="Trebuchet MS"/>
        </w:rPr>
      </w:pPr>
      <w:r w:rsidRPr="009F2022">
        <w:rPr>
          <w:rFonts w:ascii="Trebuchet MS" w:hAnsi="Trebuchet MS"/>
        </w:rPr>
        <w:t>Third: Philpot used the African-Caribbean Henry Thomas as the model for his central figure for the Delhi painting, but rendering him as a white European for the final piece.</w:t>
      </w:r>
    </w:p>
    <w:p w:rsidR="009F2022" w:rsidRPr="009F2022" w:rsidRDefault="009F2022" w:rsidP="009F2022">
      <w:pPr>
        <w:pStyle w:val="NormalWeb"/>
        <w:rPr>
          <w:rFonts w:ascii="Trebuchet MS" w:hAnsi="Trebuchet MS"/>
        </w:rPr>
      </w:pPr>
      <w:r w:rsidRPr="009F2022">
        <w:rPr>
          <w:rFonts w:ascii="Trebuchet MS" w:hAnsi="Trebuchet MS"/>
        </w:rPr>
        <w:t>Here goes, then, with the promised quote and some light exegesis:</w:t>
      </w:r>
    </w:p>
    <w:p w:rsidR="009F2022" w:rsidRPr="009F2022" w:rsidRDefault="009F2022" w:rsidP="009F2022">
      <w:pPr>
        <w:pStyle w:val="NormalWeb"/>
        <w:rPr>
          <w:rFonts w:ascii="Trebuchet MS" w:hAnsi="Trebuchet MS"/>
        </w:rPr>
      </w:pPr>
      <w:r w:rsidRPr="009F2022">
        <w:rPr>
          <w:rFonts w:ascii="Trebuchet MS" w:hAnsi="Trebuchet MS"/>
        </w:rPr>
        <w:t xml:space="preserve">“However, this [the third point, above] is </w:t>
      </w:r>
      <w:r w:rsidRPr="009F2022">
        <w:rPr>
          <w:rStyle w:val="Emphasis"/>
          <w:rFonts w:ascii="Trebuchet MS" w:hAnsi="Trebuchet MS"/>
        </w:rPr>
        <w:t>perhaps reflective</w:t>
      </w:r>
      <w:r w:rsidRPr="009F2022">
        <w:rPr>
          <w:rFonts w:ascii="Trebuchet MS" w:hAnsi="Trebuchet MS"/>
        </w:rPr>
        <w:t xml:space="preserve"> of</w:t>
      </w:r>
      <w:r w:rsidRPr="009F2022">
        <w:rPr>
          <w:rStyle w:val="Emphasis"/>
          <w:rFonts w:ascii="Trebuchet MS" w:hAnsi="Trebuchet MS"/>
        </w:rPr>
        <w:t xml:space="preserve"> hierarchical</w:t>
      </w:r>
      <w:r w:rsidRPr="009F2022">
        <w:rPr>
          <w:rFonts w:ascii="Trebuchet MS" w:hAnsi="Trebuchet MS"/>
        </w:rPr>
        <w:t xml:space="preserve"> thinking relating to Britain, its empire and Christianity in the 1920s and ’30s, and the setting of the commission within the home [in New Delhi] of the Viceroy, representative of the King Emperor. Philpot </w:t>
      </w:r>
      <w:r w:rsidRPr="009F2022">
        <w:rPr>
          <w:rStyle w:val="Emphasis"/>
          <w:rFonts w:ascii="Trebuchet MS" w:hAnsi="Trebuchet MS"/>
        </w:rPr>
        <w:t>would thus seem to be the paradigm of ‘colonial ambivalence’</w:t>
      </w:r>
      <w:r w:rsidRPr="009F2022">
        <w:rPr>
          <w:rFonts w:ascii="Trebuchet MS" w:hAnsi="Trebuchet MS"/>
        </w:rPr>
        <w:t xml:space="preserve">, being at once sympathetic with people of </w:t>
      </w:r>
      <w:proofErr w:type="spellStart"/>
      <w:r w:rsidRPr="009F2022">
        <w:rPr>
          <w:rFonts w:ascii="Trebuchet MS" w:hAnsi="Trebuchet MS"/>
        </w:rPr>
        <w:t>colour</w:t>
      </w:r>
      <w:proofErr w:type="spellEnd"/>
      <w:r w:rsidRPr="009F2022">
        <w:rPr>
          <w:rFonts w:ascii="Trebuchet MS" w:hAnsi="Trebuchet MS"/>
        </w:rPr>
        <w:t xml:space="preserve"> and yet creating work at the centre of the British colonial enterprise, </w:t>
      </w:r>
      <w:r w:rsidRPr="009F2022">
        <w:rPr>
          <w:rStyle w:val="Emphasis"/>
          <w:rFonts w:ascii="Trebuchet MS" w:hAnsi="Trebuchet MS"/>
        </w:rPr>
        <w:t xml:space="preserve">corroborating Edward </w:t>
      </w:r>
      <w:proofErr w:type="spellStart"/>
      <w:r w:rsidRPr="009F2022">
        <w:rPr>
          <w:rStyle w:val="Emphasis"/>
          <w:rFonts w:ascii="Trebuchet MS" w:hAnsi="Trebuchet MS"/>
        </w:rPr>
        <w:t>Said’s</w:t>
      </w:r>
      <w:proofErr w:type="spellEnd"/>
      <w:r w:rsidRPr="009F2022">
        <w:rPr>
          <w:rStyle w:val="Emphasis"/>
          <w:rFonts w:ascii="Trebuchet MS" w:hAnsi="Trebuchet MS"/>
        </w:rPr>
        <w:t xml:space="preserve"> assertion</w:t>
      </w:r>
      <w:r w:rsidRPr="009F2022">
        <w:rPr>
          <w:rFonts w:ascii="Trebuchet MS" w:hAnsi="Trebuchet MS"/>
        </w:rPr>
        <w:t xml:space="preserve"> that no European can oppose colonialism or </w:t>
      </w:r>
      <w:proofErr w:type="spellStart"/>
      <w:r w:rsidRPr="009F2022">
        <w:rPr>
          <w:rFonts w:ascii="Trebuchet MS" w:hAnsi="Trebuchet MS"/>
        </w:rPr>
        <w:t>orientalism</w:t>
      </w:r>
      <w:proofErr w:type="spellEnd"/>
      <w:r w:rsidRPr="009F2022">
        <w:rPr>
          <w:rFonts w:ascii="Trebuchet MS" w:hAnsi="Trebuchet MS"/>
        </w:rPr>
        <w:t xml:space="preserve"> because they are </w:t>
      </w:r>
      <w:r w:rsidRPr="009F2022">
        <w:rPr>
          <w:rStyle w:val="Emphasis"/>
          <w:rFonts w:ascii="Trebuchet MS" w:hAnsi="Trebuchet MS"/>
        </w:rPr>
        <w:t>produced by these discourses and cannot sit outside of them</w:t>
      </w:r>
      <w:r w:rsidRPr="009F2022">
        <w:rPr>
          <w:rFonts w:ascii="Trebuchet MS" w:hAnsi="Trebuchet MS"/>
        </w:rPr>
        <w:t>”</w:t>
      </w:r>
      <w:proofErr w:type="gramStart"/>
      <w:r w:rsidRPr="009F2022">
        <w:rPr>
          <w:rFonts w:ascii="Trebuchet MS" w:hAnsi="Trebuchet MS"/>
        </w:rPr>
        <w:t>.[</w:t>
      </w:r>
      <w:proofErr w:type="gramEnd"/>
      <w:r w:rsidRPr="009F2022">
        <w:rPr>
          <w:rFonts w:ascii="Trebuchet MS" w:hAnsi="Trebuchet MS"/>
        </w:rPr>
        <w:t>RDN italics]</w:t>
      </w:r>
      <w:r w:rsidR="00D5242B">
        <w:rPr>
          <w:rStyle w:val="FootnoteReference"/>
          <w:rFonts w:ascii="Trebuchet MS" w:hAnsi="Trebuchet MS"/>
        </w:rPr>
        <w:footnoteReference w:id="4"/>
      </w:r>
      <w:r w:rsidR="00D5242B">
        <w:rPr>
          <w:rFonts w:ascii="Trebuchet MS" w:hAnsi="Trebuchet MS"/>
        </w:rPr>
        <w:t xml:space="preserve"> </w:t>
      </w:r>
      <w:r w:rsidRPr="009F2022">
        <w:rPr>
          <w:rFonts w:ascii="Trebuchet MS" w:hAnsi="Trebuchet MS"/>
        </w:rPr>
        <w:t xml:space="preserve">In brief, this quote is both speculative and cautious. The “perhaps” and the “reflective” are tentative, not assertive, in talking about Philpot in regard to what is said to be the dominant thinking in “hierarchical” Britain. The remarks go on to say that Philpot “would thus </w:t>
      </w:r>
      <w:r w:rsidRPr="009F2022">
        <w:rPr>
          <w:rFonts w:ascii="Trebuchet MS" w:hAnsi="Trebuchet MS"/>
        </w:rPr>
        <w:lastRenderedPageBreak/>
        <w:t>seem to be the paradigm” of “colonial ambivalence.” The last bit is a term popular in Critical Theory’s latter day sub-department, Post-colonial Theory.</w:t>
      </w:r>
    </w:p>
    <w:p w:rsidR="009F2022" w:rsidRPr="009F2022" w:rsidRDefault="009F2022" w:rsidP="009F2022">
      <w:pPr>
        <w:pStyle w:val="NormalWeb"/>
        <w:rPr>
          <w:rFonts w:ascii="Trebuchet MS" w:hAnsi="Trebuchet MS"/>
        </w:rPr>
      </w:pPr>
      <w:r w:rsidRPr="009F2022">
        <w:rPr>
          <w:rFonts w:ascii="Trebuchet MS" w:hAnsi="Trebuchet MS"/>
        </w:rPr>
        <w:t xml:space="preserve">The idea is that colonialists at once belittle their subject peoples and – perhaps as </w:t>
      </w:r>
      <w:proofErr w:type="gramStart"/>
      <w:r w:rsidRPr="009F2022">
        <w:rPr>
          <w:rFonts w:ascii="Trebuchet MS" w:hAnsi="Trebuchet MS"/>
        </w:rPr>
        <w:t>a misdirection</w:t>
      </w:r>
      <w:proofErr w:type="gramEnd"/>
      <w:r w:rsidRPr="009F2022">
        <w:rPr>
          <w:rFonts w:ascii="Trebuchet MS" w:hAnsi="Trebuchet MS"/>
        </w:rPr>
        <w:t xml:space="preserve"> - also </w:t>
      </w:r>
      <w:proofErr w:type="spellStart"/>
      <w:r w:rsidRPr="009F2022">
        <w:rPr>
          <w:rFonts w:ascii="Trebuchet MS" w:hAnsi="Trebuchet MS"/>
        </w:rPr>
        <w:t>exoticise</w:t>
      </w:r>
      <w:proofErr w:type="spellEnd"/>
      <w:r w:rsidRPr="009F2022">
        <w:rPr>
          <w:rFonts w:ascii="Trebuchet MS" w:hAnsi="Trebuchet MS"/>
        </w:rPr>
        <w:t xml:space="preserve"> them. I’ll unpick some of all that below, as briefly as I decently can.</w:t>
      </w:r>
    </w:p>
    <w:p w:rsidR="009F2022" w:rsidRPr="009F2022" w:rsidRDefault="009F2022" w:rsidP="009F2022">
      <w:pPr>
        <w:pStyle w:val="NormalWeb"/>
        <w:rPr>
          <w:rFonts w:ascii="Trebuchet MS" w:hAnsi="Trebuchet MS"/>
        </w:rPr>
      </w:pPr>
      <w:r w:rsidRPr="009F2022">
        <w:rPr>
          <w:rFonts w:ascii="Trebuchet MS" w:hAnsi="Trebuchet MS"/>
        </w:rPr>
        <w:t xml:space="preserve">As to the early sentences in this paragraph “corroborating” an assertion of Edward </w:t>
      </w:r>
      <w:proofErr w:type="spellStart"/>
      <w:r w:rsidRPr="009F2022">
        <w:rPr>
          <w:rFonts w:ascii="Trebuchet MS" w:hAnsi="Trebuchet MS"/>
        </w:rPr>
        <w:t>Said’s</w:t>
      </w:r>
      <w:proofErr w:type="spellEnd"/>
      <w:r w:rsidRPr="009F2022">
        <w:rPr>
          <w:rFonts w:ascii="Trebuchet MS" w:hAnsi="Trebuchet MS"/>
        </w:rPr>
        <w:t xml:space="preserve">, I can’t find that line in either editions of his famous </w:t>
      </w:r>
      <w:proofErr w:type="spellStart"/>
      <w:r w:rsidRPr="009F2022">
        <w:rPr>
          <w:rStyle w:val="Emphasis"/>
          <w:rFonts w:ascii="Trebuchet MS" w:hAnsi="Trebuchet MS"/>
        </w:rPr>
        <w:t>Orientalism</w:t>
      </w:r>
      <w:proofErr w:type="spellEnd"/>
      <w:r w:rsidRPr="009F2022">
        <w:rPr>
          <w:rStyle w:val="Emphasis"/>
          <w:rFonts w:ascii="Trebuchet MS" w:hAnsi="Trebuchet MS"/>
        </w:rPr>
        <w:t xml:space="preserve">. </w:t>
      </w:r>
      <w:r w:rsidR="00F354CD" w:rsidRPr="00F354CD">
        <w:rPr>
          <w:rStyle w:val="Emphasis"/>
          <w:rFonts w:ascii="Trebuchet MS" w:hAnsi="Trebuchet MS"/>
          <w:i w:val="0"/>
        </w:rPr>
        <w:t>But s</w:t>
      </w:r>
      <w:r w:rsidRPr="00F354CD">
        <w:rPr>
          <w:rFonts w:ascii="Trebuchet MS" w:hAnsi="Trebuchet MS"/>
        </w:rPr>
        <w:t>ee</w:t>
      </w:r>
      <w:r w:rsidRPr="009F2022">
        <w:rPr>
          <w:rFonts w:ascii="Trebuchet MS" w:hAnsi="Trebuchet MS"/>
        </w:rPr>
        <w:t>,</w:t>
      </w:r>
      <w:r w:rsidR="00F354CD">
        <w:rPr>
          <w:rFonts w:ascii="Trebuchet MS" w:hAnsi="Trebuchet MS"/>
        </w:rPr>
        <w:t xml:space="preserve"> </w:t>
      </w:r>
      <w:proofErr w:type="spellStart"/>
      <w:r w:rsidR="00F354CD">
        <w:rPr>
          <w:rFonts w:ascii="Trebuchet MS" w:hAnsi="Trebuchet MS"/>
        </w:rPr>
        <w:t>Hatt</w:t>
      </w:r>
      <w:proofErr w:type="spellEnd"/>
      <w:r w:rsidR="00F354CD">
        <w:rPr>
          <w:rFonts w:ascii="Trebuchet MS" w:hAnsi="Trebuchet MS"/>
        </w:rPr>
        <w:t xml:space="preserve"> and </w:t>
      </w:r>
      <w:proofErr w:type="spellStart"/>
      <w:r w:rsidR="00F354CD">
        <w:rPr>
          <w:rFonts w:ascii="Trebuchet MS" w:hAnsi="Trebuchet MS"/>
        </w:rPr>
        <w:t>Klunk</w:t>
      </w:r>
      <w:proofErr w:type="spellEnd"/>
      <w:r w:rsidR="00F354CD">
        <w:rPr>
          <w:rFonts w:ascii="Trebuchet MS" w:hAnsi="Trebuchet MS"/>
        </w:rPr>
        <w:t xml:space="preserve"> in Appendix #1.</w:t>
      </w:r>
    </w:p>
    <w:p w:rsidR="009F2022" w:rsidRPr="009F2022" w:rsidRDefault="009F2022" w:rsidP="009F2022">
      <w:pPr>
        <w:pStyle w:val="NormalWeb"/>
        <w:rPr>
          <w:rFonts w:ascii="Trebuchet MS" w:hAnsi="Trebuchet MS"/>
        </w:rPr>
      </w:pPr>
      <w:r w:rsidRPr="009F2022">
        <w:rPr>
          <w:rFonts w:ascii="Trebuchet MS" w:hAnsi="Trebuchet MS"/>
        </w:rPr>
        <w:t xml:space="preserve">Had Said made the remark, the best that could said for it is that it at least </w:t>
      </w:r>
      <w:proofErr w:type="spellStart"/>
      <w:r w:rsidRPr="009F2022">
        <w:rPr>
          <w:rFonts w:ascii="Trebuchet MS" w:hAnsi="Trebuchet MS"/>
        </w:rPr>
        <w:t>honours</w:t>
      </w:r>
      <w:proofErr w:type="spellEnd"/>
      <w:r w:rsidRPr="009F2022">
        <w:rPr>
          <w:rFonts w:ascii="Trebuchet MS" w:hAnsi="Trebuchet MS"/>
        </w:rPr>
        <w:t xml:space="preserve"> his view that all white imperialists were hopelessly biased against their dark-skinned subjects.</w:t>
      </w:r>
    </w:p>
    <w:p w:rsidR="009F2022" w:rsidRPr="009F2022" w:rsidRDefault="009F2022" w:rsidP="009F2022">
      <w:pPr>
        <w:pStyle w:val="NormalWeb"/>
        <w:rPr>
          <w:rFonts w:ascii="Trebuchet MS" w:hAnsi="Trebuchet MS"/>
        </w:rPr>
      </w:pPr>
      <w:r w:rsidRPr="009F2022">
        <w:rPr>
          <w:rFonts w:ascii="Trebuchet MS" w:hAnsi="Trebuchet MS"/>
        </w:rPr>
        <w:t xml:space="preserve">It needs pointing out that </w:t>
      </w:r>
      <w:proofErr w:type="spellStart"/>
      <w:r w:rsidRPr="009F2022">
        <w:rPr>
          <w:rFonts w:ascii="Trebuchet MS" w:hAnsi="Trebuchet MS"/>
        </w:rPr>
        <w:t>Said’s</w:t>
      </w:r>
      <w:proofErr w:type="spellEnd"/>
      <w:r w:rsidRPr="009F2022">
        <w:rPr>
          <w:rFonts w:ascii="Trebuchet MS" w:hAnsi="Trebuchet MS"/>
        </w:rPr>
        <w:t xml:space="preserve"> </w:t>
      </w:r>
      <w:proofErr w:type="spellStart"/>
      <w:r w:rsidRPr="009F2022">
        <w:rPr>
          <w:rStyle w:val="Emphasis"/>
          <w:rFonts w:ascii="Trebuchet MS" w:hAnsi="Trebuchet MS"/>
        </w:rPr>
        <w:t>Orientalsm</w:t>
      </w:r>
      <w:proofErr w:type="spellEnd"/>
      <w:r w:rsidRPr="009F2022">
        <w:rPr>
          <w:rFonts w:ascii="Trebuchet MS" w:hAnsi="Trebuchet MS"/>
        </w:rPr>
        <w:t xml:space="preserve"> was actually quite nuanced, even conflicted (though he doesn’t admit that much). Said wanted to assert the </w:t>
      </w:r>
      <w:proofErr w:type="spellStart"/>
      <w:r w:rsidRPr="009F2022">
        <w:rPr>
          <w:rFonts w:ascii="Trebuchet MS" w:hAnsi="Trebuchet MS"/>
        </w:rPr>
        <w:t>Foucauldian</w:t>
      </w:r>
      <w:proofErr w:type="spellEnd"/>
      <w:r w:rsidRPr="009F2022">
        <w:rPr>
          <w:rFonts w:ascii="Trebuchet MS" w:hAnsi="Trebuchet MS"/>
        </w:rPr>
        <w:t xml:space="preserve"> tyranny of cultural discourse whilst declaring </w:t>
      </w:r>
      <w:proofErr w:type="spellStart"/>
      <w:r w:rsidRPr="009F2022">
        <w:rPr>
          <w:rFonts w:ascii="Trebuchet MS" w:hAnsi="Trebuchet MS"/>
        </w:rPr>
        <w:t>Said’s</w:t>
      </w:r>
      <w:proofErr w:type="spellEnd"/>
      <w:r w:rsidRPr="009F2022">
        <w:rPr>
          <w:rFonts w:ascii="Trebuchet MS" w:hAnsi="Trebuchet MS"/>
        </w:rPr>
        <w:t xml:space="preserve"> own equal and opposing commitment to humanist personal autonomy of thought. </w:t>
      </w:r>
      <w:proofErr w:type="spellStart"/>
      <w:r w:rsidRPr="009F2022">
        <w:rPr>
          <w:rFonts w:ascii="Trebuchet MS" w:hAnsi="Trebuchet MS"/>
        </w:rPr>
        <w:t>Said’s</w:t>
      </w:r>
      <w:proofErr w:type="spellEnd"/>
      <w:r w:rsidRPr="009F2022">
        <w:rPr>
          <w:rFonts w:ascii="Trebuchet MS" w:hAnsi="Trebuchet MS"/>
        </w:rPr>
        <w:t xml:space="preserve"> unthinking followers – our modern institutional leaders in academic and curatorial thought - are much more keen on </w:t>
      </w:r>
      <w:proofErr w:type="spellStart"/>
      <w:r w:rsidRPr="009F2022">
        <w:rPr>
          <w:rFonts w:ascii="Trebuchet MS" w:hAnsi="Trebuchet MS"/>
        </w:rPr>
        <w:t>Said’s</w:t>
      </w:r>
      <w:proofErr w:type="spellEnd"/>
      <w:r w:rsidRPr="009F2022">
        <w:rPr>
          <w:rFonts w:ascii="Trebuchet MS" w:hAnsi="Trebuchet MS"/>
        </w:rPr>
        <w:t xml:space="preserve"> obeisance to Foucault than on the lingering but sidelined respect for humanism to be seen in </w:t>
      </w:r>
      <w:proofErr w:type="spellStart"/>
      <w:r w:rsidRPr="009F2022">
        <w:rPr>
          <w:rStyle w:val="Emphasis"/>
          <w:rFonts w:ascii="Trebuchet MS" w:hAnsi="Trebuchet MS"/>
        </w:rPr>
        <w:t>Orientalism</w:t>
      </w:r>
      <w:proofErr w:type="spellEnd"/>
      <w:r w:rsidRPr="009F2022">
        <w:rPr>
          <w:rFonts w:ascii="Trebuchet MS" w:hAnsi="Trebuchet MS"/>
        </w:rPr>
        <w:t xml:space="preserve">. The </w:t>
      </w:r>
      <w:proofErr w:type="spellStart"/>
      <w:r w:rsidRPr="009F2022">
        <w:rPr>
          <w:rFonts w:ascii="Trebuchet MS" w:hAnsi="Trebuchet MS"/>
        </w:rPr>
        <w:t>Pallant</w:t>
      </w:r>
      <w:proofErr w:type="spellEnd"/>
      <w:r w:rsidRPr="009F2022">
        <w:rPr>
          <w:rFonts w:ascii="Trebuchet MS" w:hAnsi="Trebuchet MS"/>
        </w:rPr>
        <w:t xml:space="preserve"> view certainly reflects the vulgar uses to which </w:t>
      </w:r>
      <w:proofErr w:type="spellStart"/>
      <w:r w:rsidRPr="009F2022">
        <w:rPr>
          <w:rFonts w:ascii="Trebuchet MS" w:hAnsi="Trebuchet MS"/>
        </w:rPr>
        <w:t>Said’s</w:t>
      </w:r>
      <w:proofErr w:type="spellEnd"/>
      <w:r w:rsidRPr="009F2022">
        <w:rPr>
          <w:rFonts w:ascii="Trebuchet MS" w:hAnsi="Trebuchet MS"/>
        </w:rPr>
        <w:t xml:space="preserve"> work was put in Critical Theory.</w:t>
      </w:r>
      <w:r w:rsidR="00D5242B">
        <w:rPr>
          <w:rStyle w:val="EndnoteReference"/>
          <w:rFonts w:ascii="Trebuchet MS" w:hAnsi="Trebuchet MS"/>
        </w:rPr>
        <w:endnoteReference w:id="1"/>
      </w:r>
      <w:r w:rsidR="00C20738">
        <w:rPr>
          <w:rFonts w:ascii="Trebuchet MS" w:hAnsi="Trebuchet MS"/>
        </w:rPr>
        <w:t xml:space="preserve"> </w:t>
      </w:r>
      <w:r w:rsidRPr="009F2022">
        <w:rPr>
          <w:rFonts w:ascii="Trebuchet MS" w:hAnsi="Trebuchet MS"/>
        </w:rPr>
        <w:t xml:space="preserve">The </w:t>
      </w:r>
      <w:proofErr w:type="spellStart"/>
      <w:r w:rsidRPr="009F2022">
        <w:rPr>
          <w:rFonts w:ascii="Trebuchet MS" w:hAnsi="Trebuchet MS"/>
        </w:rPr>
        <w:t>Pallant</w:t>
      </w:r>
      <w:proofErr w:type="spellEnd"/>
      <w:r w:rsidRPr="009F2022">
        <w:rPr>
          <w:rFonts w:ascii="Trebuchet MS" w:hAnsi="Trebuchet MS"/>
        </w:rPr>
        <w:t xml:space="preserve"> makes, I think, several poor, commonplace and vulgar Critical Theory moves in these remarks, and makes them feebly. Said may have believed that all colonialists believed a particular derogatory narrative about any dark-skinned subject people. (But see Appendix #1, below.) If every part of that proposition was true, then colonialists are in effect what came to be called “essentialist”. And of course, so was </w:t>
      </w:r>
      <w:proofErr w:type="gramStart"/>
      <w:r w:rsidRPr="009F2022">
        <w:rPr>
          <w:rFonts w:ascii="Trebuchet MS" w:hAnsi="Trebuchet MS"/>
        </w:rPr>
        <w:t>Said</w:t>
      </w:r>
      <w:proofErr w:type="gramEnd"/>
      <w:r w:rsidRPr="009F2022">
        <w:rPr>
          <w:rFonts w:ascii="Trebuchet MS" w:hAnsi="Trebuchet MS"/>
        </w:rPr>
        <w:t xml:space="preserve">, since he was being essentialist right back at the colonialists. It is of a piece with </w:t>
      </w:r>
      <w:proofErr w:type="spellStart"/>
      <w:r w:rsidRPr="009F2022">
        <w:rPr>
          <w:rFonts w:ascii="Trebuchet MS" w:hAnsi="Trebuchet MS"/>
        </w:rPr>
        <w:t>Said’s</w:t>
      </w:r>
      <w:proofErr w:type="spellEnd"/>
      <w:r w:rsidRPr="009F2022">
        <w:rPr>
          <w:rFonts w:ascii="Trebuchet MS" w:hAnsi="Trebuchet MS"/>
        </w:rPr>
        <w:t xml:space="preserve"> inconsistencies that he is both an essentialist and a denier of essentialism.</w:t>
      </w:r>
    </w:p>
    <w:p w:rsidR="009F2022" w:rsidRPr="009F2022" w:rsidRDefault="009F2022" w:rsidP="009F2022">
      <w:pPr>
        <w:pStyle w:val="NormalWeb"/>
        <w:rPr>
          <w:rFonts w:ascii="Trebuchet MS" w:hAnsi="Trebuchet MS"/>
        </w:rPr>
      </w:pPr>
      <w:r w:rsidRPr="009F2022">
        <w:rPr>
          <w:rFonts w:ascii="Trebuchet MS" w:hAnsi="Trebuchet MS"/>
        </w:rPr>
        <w:t>My own reading of Said is that he wanted to have his cake and eat it too, but was almost too decent to quite pull it off.</w:t>
      </w:r>
    </w:p>
    <w:p w:rsidR="009F2022" w:rsidRPr="009F2022" w:rsidRDefault="009F2022" w:rsidP="009F2022">
      <w:pPr>
        <w:pStyle w:val="NormalWeb"/>
        <w:rPr>
          <w:rFonts w:ascii="Trebuchet MS" w:hAnsi="Trebuchet MS"/>
        </w:rPr>
      </w:pPr>
      <w:r w:rsidRPr="009F2022">
        <w:rPr>
          <w:rFonts w:ascii="Trebuchet MS" w:hAnsi="Trebuchet MS"/>
        </w:rPr>
        <w:t xml:space="preserve">However, Philpot and North were examples of how wrong </w:t>
      </w:r>
      <w:proofErr w:type="spellStart"/>
      <w:r w:rsidRPr="009F2022">
        <w:rPr>
          <w:rFonts w:ascii="Trebuchet MS" w:hAnsi="Trebuchet MS"/>
        </w:rPr>
        <w:t>Said's</w:t>
      </w:r>
      <w:proofErr w:type="spellEnd"/>
      <w:r w:rsidRPr="009F2022">
        <w:rPr>
          <w:rFonts w:ascii="Trebuchet MS" w:hAnsi="Trebuchet MS"/>
        </w:rPr>
        <w:t xml:space="preserve"> assumptions about</w:t>
      </w:r>
      <w:proofErr w:type="gramStart"/>
      <w:r w:rsidRPr="009F2022">
        <w:rPr>
          <w:rFonts w:ascii="Trebuchet MS" w:hAnsi="Trebuchet MS"/>
        </w:rPr>
        <w:t>  groupthink</w:t>
      </w:r>
      <w:proofErr w:type="gramEnd"/>
      <w:r w:rsidRPr="009F2022">
        <w:rPr>
          <w:rFonts w:ascii="Trebuchet MS" w:hAnsi="Trebuchet MS"/>
        </w:rPr>
        <w:t xml:space="preserve"> were.</w:t>
      </w:r>
    </w:p>
    <w:p w:rsidR="009F2022" w:rsidRPr="009F2022" w:rsidRDefault="009F2022" w:rsidP="009F2022">
      <w:pPr>
        <w:pStyle w:val="NormalWeb"/>
        <w:rPr>
          <w:rFonts w:ascii="Trebuchet MS" w:hAnsi="Trebuchet MS"/>
        </w:rPr>
      </w:pPr>
      <w:r w:rsidRPr="009F2022">
        <w:rPr>
          <w:rFonts w:ascii="Trebuchet MS" w:hAnsi="Trebuchet MS"/>
        </w:rPr>
        <w:t xml:space="preserve">In fretting over all this, the </w:t>
      </w:r>
      <w:proofErr w:type="spellStart"/>
      <w:r w:rsidRPr="009F2022">
        <w:rPr>
          <w:rFonts w:ascii="Trebuchet MS" w:hAnsi="Trebuchet MS"/>
        </w:rPr>
        <w:t>Pallant</w:t>
      </w:r>
      <w:proofErr w:type="spellEnd"/>
      <w:r w:rsidRPr="009F2022">
        <w:rPr>
          <w:rFonts w:ascii="Trebuchet MS" w:hAnsi="Trebuchet MS"/>
        </w:rPr>
        <w:t xml:space="preserve"> ignores the plain fact that in Philpot’s (and North’s) time European and </w:t>
      </w:r>
      <w:proofErr w:type="spellStart"/>
      <w:r w:rsidRPr="009F2022">
        <w:rPr>
          <w:rFonts w:ascii="Trebuchet MS" w:hAnsi="Trebuchet MS"/>
        </w:rPr>
        <w:t>Anglosphere</w:t>
      </w:r>
      <w:proofErr w:type="spellEnd"/>
      <w:r w:rsidRPr="009F2022">
        <w:rPr>
          <w:rFonts w:ascii="Trebuchet MS" w:hAnsi="Trebuchet MS"/>
        </w:rPr>
        <w:t xml:space="preserve"> mainstream thought had very varied views on empire. As discussed above, progressive, leftish white thought was as firmly anti-imperial as its equivalent in the colonies, and that within official circles there was a strong strand of reformism and it was emerging in policy.</w:t>
      </w:r>
    </w:p>
    <w:p w:rsidR="009F2022" w:rsidRPr="009F2022" w:rsidRDefault="009F2022" w:rsidP="009F2022">
      <w:pPr>
        <w:pStyle w:val="NormalWeb"/>
        <w:rPr>
          <w:rFonts w:ascii="Trebuchet MS" w:hAnsi="Trebuchet MS"/>
        </w:rPr>
      </w:pPr>
      <w:r w:rsidRPr="009F2022">
        <w:rPr>
          <w:rFonts w:ascii="Trebuchet MS" w:hAnsi="Trebuchet MS"/>
        </w:rPr>
        <w:t xml:space="preserve">It is also a little surprising that anyone, now or in the very early 1930s, would suppose that Indians coming to the Viceroy’s residence would be surprised, or shocked, to see white images. Indeed, Asians might have been more surprised if the Viceroy’s walls </w:t>
      </w:r>
      <w:r w:rsidRPr="009F2022">
        <w:rPr>
          <w:rFonts w:ascii="Trebuchet MS" w:hAnsi="Trebuchet MS"/>
        </w:rPr>
        <w:lastRenderedPageBreak/>
        <w:t>had instead boasted an image of an African-Caribbean presented as some version of an Italian Renaissance image of God.</w:t>
      </w:r>
    </w:p>
    <w:p w:rsidR="009F2022" w:rsidRPr="009F2022" w:rsidRDefault="009436FA" w:rsidP="007D0265">
      <w:pPr>
        <w:pStyle w:val="Footnote"/>
      </w:pPr>
      <w:hyperlink w:anchor="Contents" w:history="1">
        <w:r w:rsidR="009F2022" w:rsidRPr="009F2022">
          <w:rPr>
            <w:rStyle w:val="Hyperlink"/>
          </w:rPr>
          <w:t>Back to Contents</w:t>
        </w:r>
      </w:hyperlink>
    </w:p>
    <w:p w:rsidR="009F2022" w:rsidRPr="009F2022" w:rsidRDefault="0074275E" w:rsidP="009F2022">
      <w:pPr>
        <w:pStyle w:val="NormalWeb"/>
        <w:rPr>
          <w:rFonts w:ascii="Trebuchet MS" w:hAnsi="Trebuchet MS"/>
        </w:rPr>
      </w:pPr>
      <w:bookmarkStart w:id="4" w:name="Afterlife"/>
      <w:bookmarkEnd w:id="4"/>
      <w:proofErr w:type="spellStart"/>
      <w:r>
        <w:rPr>
          <w:rFonts w:ascii="Trebuchet MS" w:hAnsi="Trebuchet MS"/>
        </w:rPr>
        <w:t>Lutyens</w:t>
      </w:r>
      <w:proofErr w:type="spellEnd"/>
      <w:r>
        <w:rPr>
          <w:rFonts w:ascii="Trebuchet MS" w:hAnsi="Trebuchet MS"/>
        </w:rPr>
        <w:t xml:space="preserve"> New Delhi Afterlife, 2024</w:t>
      </w:r>
      <w:r>
        <w:rPr>
          <w:rFonts w:ascii="Trebuchet MS" w:hAnsi="Trebuchet MS"/>
        </w:rPr>
        <w:br/>
      </w:r>
      <w:r>
        <w:rPr>
          <w:rFonts w:ascii="Trebuchet MS" w:hAnsi="Trebuchet MS"/>
        </w:rPr>
        <w:br/>
      </w:r>
      <w:r w:rsidR="009F2022" w:rsidRPr="009F2022">
        <w:rPr>
          <w:rFonts w:ascii="Trebuchet MS" w:hAnsi="Trebuchet MS"/>
        </w:rPr>
        <w:t>Indeed, and here is the funny, excellent and even huggable side of all this. When the nationalists and sectionalists took over India and divided it, the Viceroy’s House was kept as a core government facility as India’s Presidential Palace. What’s more, Glyn Philpot’s and Vivian Forbes’s paintings still hang in what is now the president’s own library. Indeed, the irony or joy of the love between the two white, “colonialist” painters is affording pleasure to a modern Presidential private secretary as he reflects on their sitting across the room from each other. (See Appendix #2)</w:t>
      </w:r>
    </w:p>
    <w:p w:rsidR="009F2022" w:rsidRPr="009F2022" w:rsidRDefault="009436FA" w:rsidP="009F2022">
      <w:pPr>
        <w:pStyle w:val="NormalWeb"/>
        <w:rPr>
          <w:rFonts w:ascii="Trebuchet MS" w:hAnsi="Trebuchet MS"/>
        </w:rPr>
      </w:pPr>
      <w:hyperlink w:anchor="Contents" w:history="1">
        <w:r w:rsidR="009F2022" w:rsidRPr="009F2022">
          <w:rPr>
            <w:rStyle w:val="Hyperlink"/>
            <w:rFonts w:ascii="Trebuchet MS" w:hAnsi="Trebuchet MS"/>
          </w:rPr>
          <w:t>Back to</w:t>
        </w:r>
        <w:r w:rsidR="009F2022" w:rsidRPr="009F2022">
          <w:rPr>
            <w:rStyle w:val="Hyperlink"/>
            <w:rFonts w:ascii="Trebuchet MS" w:hAnsi="Trebuchet MS"/>
          </w:rPr>
          <w:t xml:space="preserve"> </w:t>
        </w:r>
        <w:r w:rsidR="009F2022" w:rsidRPr="009F2022">
          <w:rPr>
            <w:rStyle w:val="Hyperlink"/>
            <w:rFonts w:ascii="Trebuchet MS" w:hAnsi="Trebuchet MS"/>
          </w:rPr>
          <w:t>Con</w:t>
        </w:r>
        <w:r w:rsidR="009F2022" w:rsidRPr="009F2022">
          <w:rPr>
            <w:rStyle w:val="Hyperlink"/>
            <w:rFonts w:ascii="Trebuchet MS" w:hAnsi="Trebuchet MS"/>
          </w:rPr>
          <w:t>t</w:t>
        </w:r>
        <w:r w:rsidR="009F2022" w:rsidRPr="009F2022">
          <w:rPr>
            <w:rStyle w:val="Hyperlink"/>
            <w:rFonts w:ascii="Trebuchet MS" w:hAnsi="Trebuchet MS"/>
          </w:rPr>
          <w:t>ents</w:t>
        </w:r>
      </w:hyperlink>
    </w:p>
    <w:p w:rsidR="009F2022" w:rsidRPr="009F2022" w:rsidRDefault="009F2022" w:rsidP="009F2022">
      <w:pPr>
        <w:pStyle w:val="NormalWeb"/>
        <w:rPr>
          <w:rFonts w:ascii="Trebuchet MS" w:hAnsi="Trebuchet MS"/>
        </w:rPr>
      </w:pPr>
      <w:bookmarkStart w:id="5" w:name="App1"/>
      <w:bookmarkEnd w:id="5"/>
      <w:r w:rsidRPr="009F2022">
        <w:rPr>
          <w:rStyle w:val="Strong"/>
          <w:rFonts w:ascii="Trebuchet MS" w:hAnsi="Trebuchet MS"/>
        </w:rPr>
        <w:t xml:space="preserve">Appendix #1: </w:t>
      </w:r>
      <w:proofErr w:type="spellStart"/>
      <w:r w:rsidRPr="009F2022">
        <w:rPr>
          <w:rStyle w:val="Emphasis"/>
          <w:rFonts w:ascii="Trebuchet MS" w:hAnsi="Trebuchet MS"/>
        </w:rPr>
        <w:t>Hatt</w:t>
      </w:r>
      <w:proofErr w:type="spellEnd"/>
      <w:r w:rsidRPr="009F2022">
        <w:rPr>
          <w:rStyle w:val="Emphasis"/>
          <w:rFonts w:ascii="Trebuchet MS" w:hAnsi="Trebuchet MS"/>
        </w:rPr>
        <w:t xml:space="preserve"> and </w:t>
      </w:r>
      <w:proofErr w:type="spellStart"/>
      <w:r w:rsidRPr="009F2022">
        <w:rPr>
          <w:rStyle w:val="Emphasis"/>
          <w:rFonts w:ascii="Trebuchet MS" w:hAnsi="Trebuchet MS"/>
        </w:rPr>
        <w:t>Klonk</w:t>
      </w:r>
      <w:proofErr w:type="spellEnd"/>
      <w:r w:rsidRPr="009F2022">
        <w:rPr>
          <w:rStyle w:val="Emphasis"/>
          <w:rFonts w:ascii="Trebuchet MS" w:hAnsi="Trebuchet MS"/>
        </w:rPr>
        <w:t xml:space="preserve"> on </w:t>
      </w:r>
      <w:proofErr w:type="spellStart"/>
      <w:r w:rsidRPr="009F2022">
        <w:rPr>
          <w:rFonts w:ascii="Trebuchet MS" w:hAnsi="Trebuchet MS"/>
        </w:rPr>
        <w:t>Orientalism</w:t>
      </w:r>
      <w:proofErr w:type="spellEnd"/>
      <w:r w:rsidRPr="009F2022">
        <w:rPr>
          <w:rFonts w:ascii="Trebuchet MS" w:hAnsi="Trebuchet MS"/>
        </w:rPr>
        <w:t xml:space="preserve"> </w:t>
      </w:r>
      <w:r w:rsidRPr="009F2022">
        <w:rPr>
          <w:rStyle w:val="Emphasis"/>
          <w:rFonts w:ascii="Trebuchet MS" w:hAnsi="Trebuchet MS"/>
        </w:rPr>
        <w:t>and humanism</w:t>
      </w:r>
    </w:p>
    <w:p w:rsidR="009F2022" w:rsidRPr="009F2022" w:rsidRDefault="009F2022" w:rsidP="009F2022">
      <w:pPr>
        <w:pStyle w:val="NormalWeb"/>
        <w:rPr>
          <w:rFonts w:ascii="Trebuchet MS" w:hAnsi="Trebuchet MS"/>
        </w:rPr>
      </w:pPr>
      <w:r w:rsidRPr="009F2022">
        <w:rPr>
          <w:rFonts w:ascii="Trebuchet MS" w:hAnsi="Trebuchet MS"/>
        </w:rPr>
        <w:t xml:space="preserve">Michael </w:t>
      </w:r>
      <w:proofErr w:type="spellStart"/>
      <w:r w:rsidRPr="009F2022">
        <w:rPr>
          <w:rFonts w:ascii="Trebuchet MS" w:hAnsi="Trebuchet MS"/>
        </w:rPr>
        <w:t>Hatt</w:t>
      </w:r>
      <w:proofErr w:type="spellEnd"/>
      <w:r w:rsidRPr="009F2022">
        <w:rPr>
          <w:rFonts w:ascii="Trebuchet MS" w:hAnsi="Trebuchet MS"/>
        </w:rPr>
        <w:t xml:space="preserve"> &amp; Charlotte </w:t>
      </w:r>
      <w:proofErr w:type="spellStart"/>
      <w:r w:rsidRPr="009F2022">
        <w:rPr>
          <w:rFonts w:ascii="Trebuchet MS" w:hAnsi="Trebuchet MS"/>
        </w:rPr>
        <w:t>Klonk</w:t>
      </w:r>
      <w:proofErr w:type="spellEnd"/>
      <w:r w:rsidRPr="009F2022">
        <w:rPr>
          <w:rFonts w:ascii="Trebuchet MS" w:hAnsi="Trebuchet MS"/>
        </w:rPr>
        <w:t xml:space="preserve">, </w:t>
      </w:r>
      <w:r w:rsidRPr="009F2022">
        <w:rPr>
          <w:rStyle w:val="Emphasis"/>
          <w:rFonts w:ascii="Trebuchet MS" w:hAnsi="Trebuchet MS"/>
        </w:rPr>
        <w:t>Art history: A critical introduction to its methods</w:t>
      </w:r>
      <w:r w:rsidRPr="009F2022">
        <w:rPr>
          <w:rFonts w:ascii="Trebuchet MS" w:hAnsi="Trebuchet MS"/>
        </w:rPr>
        <w:t>, Manchester University Press, 2006 Available at Internet Archive.</w:t>
      </w:r>
    </w:p>
    <w:p w:rsidR="009F2022" w:rsidRPr="009F2022" w:rsidRDefault="009F2022" w:rsidP="009F2022">
      <w:pPr>
        <w:pStyle w:val="NormalWeb"/>
        <w:rPr>
          <w:rFonts w:ascii="Trebuchet MS" w:hAnsi="Trebuchet MS"/>
        </w:rPr>
      </w:pPr>
      <w:r w:rsidRPr="009F2022">
        <w:rPr>
          <w:rFonts w:ascii="Trebuchet MS" w:hAnsi="Trebuchet MS"/>
        </w:rPr>
        <w:t xml:space="preserve">This is a vital piece of work. It is a moderate and sensible account of Foucault (and </w:t>
      </w:r>
      <w:proofErr w:type="spellStart"/>
      <w:r w:rsidRPr="009F2022">
        <w:rPr>
          <w:rFonts w:ascii="Trebuchet MS" w:hAnsi="Trebuchet MS"/>
        </w:rPr>
        <w:t>Foucauldianism</w:t>
      </w:r>
      <w:proofErr w:type="spellEnd"/>
      <w:r w:rsidRPr="009F2022">
        <w:rPr>
          <w:rFonts w:ascii="Trebuchet MS" w:hAnsi="Trebuchet MS"/>
        </w:rPr>
        <w:t xml:space="preserve">) and also of Foucault’s underpinning of Edward </w:t>
      </w:r>
      <w:proofErr w:type="spellStart"/>
      <w:r w:rsidRPr="009F2022">
        <w:rPr>
          <w:rFonts w:ascii="Trebuchet MS" w:hAnsi="Trebuchet MS"/>
        </w:rPr>
        <w:t>Said’s</w:t>
      </w:r>
      <w:proofErr w:type="spellEnd"/>
      <w:r w:rsidRPr="009F2022">
        <w:rPr>
          <w:rFonts w:ascii="Trebuchet MS" w:hAnsi="Trebuchet MS"/>
        </w:rPr>
        <w:t xml:space="preserve"> </w:t>
      </w:r>
      <w:proofErr w:type="spellStart"/>
      <w:r w:rsidRPr="009F2022">
        <w:rPr>
          <w:rStyle w:val="Emphasis"/>
          <w:rFonts w:ascii="Trebuchet MS" w:hAnsi="Trebuchet MS"/>
        </w:rPr>
        <w:t>Orientalism</w:t>
      </w:r>
      <w:proofErr w:type="spellEnd"/>
      <w:r w:rsidRPr="009F2022">
        <w:rPr>
          <w:rFonts w:ascii="Trebuchet MS" w:hAnsi="Trebuchet MS"/>
        </w:rPr>
        <w:t xml:space="preserve">. </w:t>
      </w:r>
      <w:proofErr w:type="spellStart"/>
      <w:r w:rsidRPr="009F2022">
        <w:rPr>
          <w:rFonts w:ascii="Trebuchet MS" w:hAnsi="Trebuchet MS"/>
        </w:rPr>
        <w:t>Hatt</w:t>
      </w:r>
      <w:proofErr w:type="spellEnd"/>
      <w:r w:rsidRPr="009F2022">
        <w:rPr>
          <w:rFonts w:ascii="Trebuchet MS" w:hAnsi="Trebuchet MS"/>
        </w:rPr>
        <w:t xml:space="preserve"> and </w:t>
      </w:r>
      <w:proofErr w:type="spellStart"/>
      <w:r w:rsidRPr="009F2022">
        <w:rPr>
          <w:rFonts w:ascii="Trebuchet MS" w:hAnsi="Trebuchet MS"/>
        </w:rPr>
        <w:t>Klonk</w:t>
      </w:r>
      <w:proofErr w:type="spellEnd"/>
      <w:r w:rsidRPr="009F2022">
        <w:rPr>
          <w:rFonts w:ascii="Trebuchet MS" w:hAnsi="Trebuchet MS"/>
        </w:rPr>
        <w:t xml:space="preserve"> politely suggest that Said was in a great muddle when he asserted his </w:t>
      </w:r>
      <w:proofErr w:type="spellStart"/>
      <w:r w:rsidRPr="009F2022">
        <w:rPr>
          <w:rFonts w:ascii="Trebuchet MS" w:hAnsi="Trebuchet MS"/>
        </w:rPr>
        <w:t>Foucauldianism</w:t>
      </w:r>
      <w:proofErr w:type="spellEnd"/>
      <w:r w:rsidRPr="009F2022">
        <w:rPr>
          <w:rFonts w:ascii="Trebuchet MS" w:hAnsi="Trebuchet MS"/>
        </w:rPr>
        <w:t xml:space="preserve"> but also his contrary belief in humanism and human freedoms (</w:t>
      </w:r>
      <w:proofErr w:type="spellStart"/>
      <w:r w:rsidRPr="009F2022">
        <w:rPr>
          <w:rFonts w:ascii="Trebuchet MS" w:hAnsi="Trebuchet MS"/>
        </w:rPr>
        <w:t>ie</w:t>
      </w:r>
      <w:proofErr w:type="spellEnd"/>
      <w:r w:rsidRPr="009F2022">
        <w:rPr>
          <w:rFonts w:ascii="Trebuchet MS" w:hAnsi="Trebuchet MS"/>
        </w:rPr>
        <w:t xml:space="preserve">, humanity’s agency). H&amp;K imply (but do not explicitly say) that the sheer variety of thinking in the “centre” of Empire, and in the colonies, wrecks </w:t>
      </w:r>
      <w:proofErr w:type="spellStart"/>
      <w:r w:rsidRPr="009F2022">
        <w:rPr>
          <w:rFonts w:ascii="Trebuchet MS" w:hAnsi="Trebuchet MS"/>
        </w:rPr>
        <w:t>Said’s</w:t>
      </w:r>
      <w:proofErr w:type="spellEnd"/>
      <w:r w:rsidRPr="009F2022">
        <w:rPr>
          <w:rFonts w:ascii="Trebuchet MS" w:hAnsi="Trebuchet MS"/>
        </w:rPr>
        <w:t xml:space="preserve"> strongly implied proposition that there was a uniformity (a conformism) in the thinking of either.</w:t>
      </w:r>
    </w:p>
    <w:p w:rsidR="009F2022" w:rsidRPr="009F2022" w:rsidRDefault="009F2022" w:rsidP="009F2022">
      <w:pPr>
        <w:pStyle w:val="NormalWeb"/>
        <w:rPr>
          <w:rFonts w:ascii="Trebuchet MS" w:hAnsi="Trebuchet MS"/>
        </w:rPr>
      </w:pPr>
      <w:r w:rsidRPr="009F2022">
        <w:rPr>
          <w:rFonts w:ascii="Trebuchet MS" w:hAnsi="Trebuchet MS"/>
        </w:rPr>
        <w:t xml:space="preserve">Here is an important quote from the </w:t>
      </w:r>
      <w:proofErr w:type="spellStart"/>
      <w:r w:rsidR="00AF3DBC">
        <w:rPr>
          <w:rFonts w:ascii="Trebuchet MS" w:hAnsi="Trebuchet MS"/>
        </w:rPr>
        <w:t>Hatt</w:t>
      </w:r>
      <w:proofErr w:type="spellEnd"/>
      <w:r w:rsidR="00AF3DBC">
        <w:rPr>
          <w:rFonts w:ascii="Trebuchet MS" w:hAnsi="Trebuchet MS"/>
        </w:rPr>
        <w:t>/</w:t>
      </w:r>
      <w:proofErr w:type="spellStart"/>
      <w:r w:rsidR="00AF3DBC">
        <w:rPr>
          <w:rFonts w:ascii="Trebuchet MS" w:hAnsi="Trebuchet MS"/>
        </w:rPr>
        <w:t>Klonk</w:t>
      </w:r>
      <w:proofErr w:type="spellEnd"/>
      <w:r w:rsidR="00AF3DBC">
        <w:rPr>
          <w:rFonts w:ascii="Trebuchet MS" w:hAnsi="Trebuchet MS"/>
        </w:rPr>
        <w:t xml:space="preserve"> </w:t>
      </w:r>
      <w:r w:rsidRPr="009F2022">
        <w:rPr>
          <w:rFonts w:ascii="Trebuchet MS" w:hAnsi="Trebuchet MS"/>
        </w:rPr>
        <w:t>work:</w:t>
      </w:r>
    </w:p>
    <w:p w:rsidR="009F2022" w:rsidRPr="009F2022" w:rsidRDefault="009F2022" w:rsidP="009F2022">
      <w:pPr>
        <w:pStyle w:val="NormalWeb"/>
        <w:rPr>
          <w:rFonts w:ascii="Trebuchet MS" w:hAnsi="Trebuchet MS"/>
        </w:rPr>
      </w:pPr>
      <w:r w:rsidRPr="009F2022">
        <w:rPr>
          <w:rFonts w:ascii="Trebuchet MS" w:hAnsi="Trebuchet MS"/>
        </w:rPr>
        <w:t xml:space="preserve">"....there is an internal theoretical contradiction in </w:t>
      </w:r>
      <w:proofErr w:type="spellStart"/>
      <w:r w:rsidRPr="009F2022">
        <w:rPr>
          <w:rStyle w:val="Emphasis"/>
          <w:rFonts w:ascii="Trebuchet MS" w:hAnsi="Trebuchet MS"/>
        </w:rPr>
        <w:t>Orientalism</w:t>
      </w:r>
      <w:proofErr w:type="spellEnd"/>
      <w:r w:rsidRPr="009F2022">
        <w:rPr>
          <w:rFonts w:ascii="Trebuchet MS" w:hAnsi="Trebuchet MS"/>
        </w:rPr>
        <w:t xml:space="preserve">...Said deploys a </w:t>
      </w:r>
      <w:proofErr w:type="spellStart"/>
      <w:r w:rsidRPr="009F2022">
        <w:rPr>
          <w:rFonts w:ascii="Trebuchet MS" w:hAnsi="Trebuchet MS"/>
        </w:rPr>
        <w:t>Foucauldian</w:t>
      </w:r>
      <w:proofErr w:type="spellEnd"/>
      <w:r w:rsidRPr="009F2022">
        <w:rPr>
          <w:rFonts w:ascii="Trebuchet MS" w:hAnsi="Trebuchet MS"/>
        </w:rPr>
        <w:t xml:space="preserve"> method, based on the notion of discourse: that the </w:t>
      </w:r>
      <w:proofErr w:type="gramStart"/>
      <w:r w:rsidRPr="009F2022">
        <w:rPr>
          <w:rFonts w:ascii="Trebuchet MS" w:hAnsi="Trebuchet MS"/>
        </w:rPr>
        <w:t>Other</w:t>
      </w:r>
      <w:proofErr w:type="gramEnd"/>
      <w:r w:rsidRPr="009F2022">
        <w:rPr>
          <w:rFonts w:ascii="Trebuchet MS" w:hAnsi="Trebuchet MS"/>
        </w:rPr>
        <w:t xml:space="preserve"> - in this case the Orient - is always a construct. This entails the impossibility of mutual understanding, since one cannot step outside discourse and find the truth about another culture. On the other hand, though, Said ends the book with a humanist wish. </w:t>
      </w:r>
      <w:proofErr w:type="spellStart"/>
      <w:r w:rsidRPr="009F2022">
        <w:rPr>
          <w:rFonts w:ascii="Trebuchet MS" w:hAnsi="Trebuchet MS"/>
        </w:rPr>
        <w:t>Orientalism</w:t>
      </w:r>
      <w:proofErr w:type="spellEnd"/>
      <w:r w:rsidRPr="009F2022">
        <w:rPr>
          <w:rFonts w:ascii="Trebuchet MS" w:hAnsi="Trebuchet MS"/>
        </w:rPr>
        <w:t xml:space="preserve"> failed, he says, because it 'failed to identify with human experience' and did not </w:t>
      </w:r>
      <w:proofErr w:type="spellStart"/>
      <w:r w:rsidRPr="009F2022">
        <w:rPr>
          <w:rFonts w:ascii="Trebuchet MS" w:hAnsi="Trebuchet MS"/>
        </w:rPr>
        <w:t>recognise</w:t>
      </w:r>
      <w:proofErr w:type="spellEnd"/>
      <w:r w:rsidRPr="009F2022">
        <w:rPr>
          <w:rFonts w:ascii="Trebuchet MS" w:hAnsi="Trebuchet MS"/>
        </w:rPr>
        <w:t xml:space="preserve"> the 'common enterprise of promoting human community.'”</w:t>
      </w:r>
    </w:p>
    <w:p w:rsidR="009F2022" w:rsidRPr="009F2022" w:rsidRDefault="009F2022" w:rsidP="009F2022">
      <w:pPr>
        <w:pStyle w:val="NormalWeb"/>
        <w:rPr>
          <w:rFonts w:ascii="Trebuchet MS" w:hAnsi="Trebuchet MS"/>
        </w:rPr>
      </w:pPr>
      <w:r w:rsidRPr="009F2022">
        <w:rPr>
          <w:rFonts w:ascii="Trebuchet MS" w:hAnsi="Trebuchet MS"/>
        </w:rPr>
        <w:t xml:space="preserve">The thinking of Said cited in H&amp;K is on the last page of the 1978 edition of his </w:t>
      </w:r>
      <w:proofErr w:type="spellStart"/>
      <w:r w:rsidRPr="009F2022">
        <w:rPr>
          <w:rStyle w:val="Emphasis"/>
          <w:rFonts w:ascii="Trebuchet MS" w:hAnsi="Trebuchet MS"/>
        </w:rPr>
        <w:t>Orientalism</w:t>
      </w:r>
      <w:proofErr w:type="spellEnd"/>
      <w:r w:rsidRPr="009F2022">
        <w:rPr>
          <w:rFonts w:ascii="Trebuchet MS" w:hAnsi="Trebuchet MS"/>
        </w:rPr>
        <w:t xml:space="preserve">. As H&amp;K suggest, it reveals a contradiction in </w:t>
      </w:r>
      <w:proofErr w:type="spellStart"/>
      <w:r w:rsidRPr="009F2022">
        <w:rPr>
          <w:rFonts w:ascii="Trebuchet MS" w:hAnsi="Trebuchet MS"/>
        </w:rPr>
        <w:t>Said's</w:t>
      </w:r>
      <w:proofErr w:type="spellEnd"/>
      <w:r w:rsidRPr="009F2022">
        <w:rPr>
          <w:rFonts w:ascii="Trebuchet MS" w:hAnsi="Trebuchet MS"/>
        </w:rPr>
        <w:t xml:space="preserve"> arguments. That is: Said does not believe whole-heartedly in the hegemony of discourse (aka narrative) he derives from Foucault. </w:t>
      </w:r>
      <w:proofErr w:type="gramStart"/>
      <w:r w:rsidRPr="009F2022">
        <w:rPr>
          <w:rFonts w:ascii="Trebuchet MS" w:hAnsi="Trebuchet MS"/>
        </w:rPr>
        <w:t xml:space="preserve">Said wants to hunt with his </w:t>
      </w:r>
      <w:proofErr w:type="spellStart"/>
      <w:r w:rsidRPr="009F2022">
        <w:rPr>
          <w:rFonts w:ascii="Trebuchet MS" w:hAnsi="Trebuchet MS"/>
        </w:rPr>
        <w:t>Foucauldian</w:t>
      </w:r>
      <w:proofErr w:type="spellEnd"/>
      <w:r w:rsidRPr="009F2022">
        <w:rPr>
          <w:rFonts w:ascii="Trebuchet MS" w:hAnsi="Trebuchet MS"/>
        </w:rPr>
        <w:t xml:space="preserve"> determinist discourse hares and with his humanist respect for human agency hounds.</w:t>
      </w:r>
      <w:proofErr w:type="gramEnd"/>
    </w:p>
    <w:p w:rsidR="009F2022" w:rsidRPr="009F2022" w:rsidRDefault="009F2022" w:rsidP="009F2022">
      <w:pPr>
        <w:pStyle w:val="NormalWeb"/>
        <w:rPr>
          <w:rFonts w:ascii="Trebuchet MS" w:hAnsi="Trebuchet MS"/>
        </w:rPr>
      </w:pPr>
      <w:r w:rsidRPr="009F2022">
        <w:rPr>
          <w:rFonts w:ascii="Trebuchet MS" w:hAnsi="Trebuchet MS"/>
        </w:rPr>
        <w:lastRenderedPageBreak/>
        <w:t xml:space="preserve">In the case of the </w:t>
      </w:r>
      <w:proofErr w:type="spellStart"/>
      <w:r w:rsidRPr="009F2022">
        <w:rPr>
          <w:rFonts w:ascii="Trebuchet MS" w:hAnsi="Trebuchet MS"/>
        </w:rPr>
        <w:t>Pallant's</w:t>
      </w:r>
      <w:proofErr w:type="spellEnd"/>
      <w:r w:rsidRPr="009F2022">
        <w:rPr>
          <w:rFonts w:ascii="Trebuchet MS" w:hAnsi="Trebuchet MS"/>
        </w:rPr>
        <w:t xml:space="preserve"> use of </w:t>
      </w:r>
      <w:proofErr w:type="spellStart"/>
      <w:r w:rsidRPr="009F2022">
        <w:rPr>
          <w:rFonts w:ascii="Trebuchet MS" w:hAnsi="Trebuchet MS"/>
        </w:rPr>
        <w:t>Said's</w:t>
      </w:r>
      <w:proofErr w:type="spellEnd"/>
      <w:r w:rsidRPr="009F2022">
        <w:rPr>
          <w:rFonts w:ascii="Trebuchet MS" w:hAnsi="Trebuchet MS"/>
        </w:rPr>
        <w:t xml:space="preserve"> thought, my feeling is that the </w:t>
      </w:r>
      <w:proofErr w:type="spellStart"/>
      <w:r w:rsidRPr="009F2022">
        <w:rPr>
          <w:rFonts w:ascii="Trebuchet MS" w:hAnsi="Trebuchet MS"/>
        </w:rPr>
        <w:t>Pallant</w:t>
      </w:r>
      <w:proofErr w:type="spellEnd"/>
      <w:r w:rsidRPr="009F2022">
        <w:rPr>
          <w:rFonts w:ascii="Trebuchet MS" w:hAnsi="Trebuchet MS"/>
        </w:rPr>
        <w:t xml:space="preserve"> reflects H&amp;K's citation of some of </w:t>
      </w:r>
      <w:proofErr w:type="spellStart"/>
      <w:r w:rsidRPr="009F2022">
        <w:rPr>
          <w:rFonts w:ascii="Trebuchet MS" w:hAnsi="Trebuchet MS"/>
        </w:rPr>
        <w:t>Said's</w:t>
      </w:r>
      <w:proofErr w:type="spellEnd"/>
      <w:r w:rsidRPr="009F2022">
        <w:rPr>
          <w:rFonts w:ascii="Trebuchet MS" w:hAnsi="Trebuchet MS"/>
        </w:rPr>
        <w:t xml:space="preserve"> words, but does so without noting that Said also directly contradicts them, as H&amp;K point out.</w:t>
      </w:r>
    </w:p>
    <w:p w:rsidR="009F2022" w:rsidRPr="009F2022" w:rsidRDefault="009F2022" w:rsidP="009F2022">
      <w:pPr>
        <w:pStyle w:val="NormalWeb"/>
        <w:rPr>
          <w:rFonts w:ascii="Trebuchet MS" w:hAnsi="Trebuchet MS"/>
        </w:rPr>
      </w:pPr>
      <w:r w:rsidRPr="009F2022">
        <w:rPr>
          <w:rFonts w:ascii="Trebuchet MS" w:hAnsi="Trebuchet MS"/>
        </w:rPr>
        <w:t xml:space="preserve">I took a look at the H&amp;K material because Simon Martin's Preface to his </w:t>
      </w:r>
      <w:r w:rsidRPr="009F2022">
        <w:rPr>
          <w:rStyle w:val="Emphasis"/>
          <w:rFonts w:ascii="Trebuchet MS" w:hAnsi="Trebuchet MS"/>
        </w:rPr>
        <w:t>Glyn Philpot, Flesh and Spirit</w:t>
      </w:r>
      <w:r w:rsidRPr="009F2022">
        <w:rPr>
          <w:rFonts w:ascii="Trebuchet MS" w:hAnsi="Trebuchet MS"/>
        </w:rPr>
        <w:t xml:space="preserve"> (2022) cites Michael </w:t>
      </w:r>
      <w:proofErr w:type="spellStart"/>
      <w:r w:rsidRPr="009F2022">
        <w:rPr>
          <w:rFonts w:ascii="Trebuchet MS" w:hAnsi="Trebuchet MS"/>
        </w:rPr>
        <w:t>Hatt's</w:t>
      </w:r>
      <w:proofErr w:type="spellEnd"/>
      <w:r w:rsidRPr="009F2022">
        <w:rPr>
          <w:rFonts w:ascii="Trebuchet MS" w:hAnsi="Trebuchet MS"/>
        </w:rPr>
        <w:t xml:space="preserve"> "inspirational" lecturing whilst Martin was at Warwick University.</w:t>
      </w:r>
    </w:p>
    <w:p w:rsidR="009F2022" w:rsidRPr="009F2022" w:rsidRDefault="009436FA" w:rsidP="009F2022">
      <w:pPr>
        <w:pStyle w:val="NormalWeb"/>
        <w:rPr>
          <w:rFonts w:ascii="Trebuchet MS" w:hAnsi="Trebuchet MS"/>
        </w:rPr>
      </w:pPr>
      <w:hyperlink w:anchor="Contents" w:history="1">
        <w:r w:rsidR="009F2022" w:rsidRPr="009F2022">
          <w:rPr>
            <w:rStyle w:val="Hyperlink"/>
            <w:rFonts w:ascii="Trebuchet MS" w:hAnsi="Trebuchet MS"/>
          </w:rPr>
          <w:t>Back to Co</w:t>
        </w:r>
        <w:r w:rsidR="009F2022" w:rsidRPr="009F2022">
          <w:rPr>
            <w:rStyle w:val="Hyperlink"/>
            <w:rFonts w:ascii="Trebuchet MS" w:hAnsi="Trebuchet MS"/>
          </w:rPr>
          <w:t>n</w:t>
        </w:r>
        <w:r w:rsidR="009F2022" w:rsidRPr="009F2022">
          <w:rPr>
            <w:rStyle w:val="Hyperlink"/>
            <w:rFonts w:ascii="Trebuchet MS" w:hAnsi="Trebuchet MS"/>
          </w:rPr>
          <w:t>tents</w:t>
        </w:r>
      </w:hyperlink>
    </w:p>
    <w:p w:rsidR="009F2022" w:rsidRPr="009F2022" w:rsidRDefault="009F2022" w:rsidP="009F2022">
      <w:pPr>
        <w:pStyle w:val="NormalWeb"/>
        <w:rPr>
          <w:rFonts w:ascii="Trebuchet MS" w:hAnsi="Trebuchet MS"/>
        </w:rPr>
      </w:pPr>
      <w:bookmarkStart w:id="6" w:name="App2"/>
      <w:bookmarkEnd w:id="6"/>
      <w:r w:rsidRPr="009F2022">
        <w:rPr>
          <w:rStyle w:val="Strong"/>
          <w:rFonts w:ascii="Trebuchet MS" w:hAnsi="Trebuchet MS"/>
        </w:rPr>
        <w:t>Appendix #2: Online research resources</w:t>
      </w:r>
      <w:r w:rsidRPr="009F2022">
        <w:rPr>
          <w:rFonts w:ascii="Trebuchet MS" w:hAnsi="Trebuchet MS"/>
        </w:rPr>
        <w:br/>
        <w:t>NB: None of the</w:t>
      </w:r>
      <w:r w:rsidR="005265EF">
        <w:rPr>
          <w:rFonts w:ascii="Trebuchet MS" w:hAnsi="Trebuchet MS"/>
        </w:rPr>
        <w:t xml:space="preserve">se sources are behind a </w:t>
      </w:r>
      <w:proofErr w:type="spellStart"/>
      <w:r w:rsidR="005265EF">
        <w:rPr>
          <w:rFonts w:ascii="Trebuchet MS" w:hAnsi="Trebuchet MS"/>
        </w:rPr>
        <w:t>paywall</w:t>
      </w:r>
      <w:proofErr w:type="spellEnd"/>
    </w:p>
    <w:p w:rsidR="009F2022" w:rsidRPr="009F2022" w:rsidRDefault="00153922" w:rsidP="009F2022">
      <w:pPr>
        <w:pStyle w:val="NormalWeb"/>
        <w:rPr>
          <w:rFonts w:ascii="Trebuchet MS" w:hAnsi="Trebuchet MS"/>
        </w:rPr>
      </w:pPr>
      <w:r>
        <w:rPr>
          <w:rFonts w:ascii="Trebuchet MS" w:hAnsi="Trebuchet MS"/>
          <w:i/>
        </w:rPr>
        <w:t>S</w:t>
      </w:r>
      <w:r w:rsidR="009F2022" w:rsidRPr="005265EF">
        <w:rPr>
          <w:rFonts w:ascii="Trebuchet MS" w:hAnsi="Trebuchet MS"/>
          <w:i/>
        </w:rPr>
        <w:t>ome Viceroys</w:t>
      </w:r>
      <w:r w:rsidR="005265EF" w:rsidRPr="005265EF">
        <w:rPr>
          <w:rFonts w:ascii="Trebuchet MS" w:hAnsi="Trebuchet MS"/>
          <w:i/>
        </w:rPr>
        <w:t xml:space="preserve"> in a sympathetic light</w:t>
      </w:r>
      <w:r w:rsidR="009F2022" w:rsidRPr="009F2022">
        <w:rPr>
          <w:rFonts w:ascii="Trebuchet MS" w:hAnsi="Trebuchet MS"/>
        </w:rPr>
        <w:t xml:space="preserve"> </w:t>
      </w:r>
      <w:r w:rsidR="005265EF">
        <w:rPr>
          <w:rFonts w:ascii="Trebuchet MS" w:hAnsi="Trebuchet MS"/>
        </w:rPr>
        <w:br/>
      </w:r>
      <w:r w:rsidR="005265EF">
        <w:rPr>
          <w:rFonts w:ascii="Trebuchet MS" w:hAnsi="Trebuchet MS"/>
        </w:rPr>
        <w:br/>
      </w:r>
      <w:r w:rsidR="009F2022" w:rsidRPr="005265EF">
        <w:rPr>
          <w:rStyle w:val="Emphasis"/>
          <w:rFonts w:ascii="Trebuchet MS" w:hAnsi="Trebuchet MS"/>
          <w:i w:val="0"/>
        </w:rPr>
        <w:t>Curzon</w:t>
      </w:r>
    </w:p>
    <w:p w:rsidR="009F2022" w:rsidRPr="009F2022" w:rsidRDefault="009436FA" w:rsidP="009F2022">
      <w:pPr>
        <w:pStyle w:val="NormalWeb"/>
        <w:rPr>
          <w:rFonts w:ascii="Trebuchet MS" w:hAnsi="Trebuchet MS"/>
        </w:rPr>
      </w:pPr>
      <w:hyperlink r:id="rId8" w:history="1">
        <w:r w:rsidR="009F2022" w:rsidRPr="009F2022">
          <w:rPr>
            <w:rStyle w:val="Hyperlink"/>
            <w:rFonts w:ascii="Trebuchet MS" w:hAnsi="Trebuchet MS"/>
          </w:rPr>
          <w:t>https://www.restoretrust.org.uk/restore-trust-issues/curzon-as-viceroy-of-india</w:t>
        </w:r>
      </w:hyperlink>
      <w:r w:rsidR="009F2022" w:rsidRPr="009F2022">
        <w:rPr>
          <w:rFonts w:ascii="Trebuchet MS" w:hAnsi="Trebuchet MS"/>
        </w:rPr>
        <w:br/>
      </w:r>
      <w:hyperlink r:id="rId9" w:history="1">
        <w:r w:rsidR="009F2022" w:rsidRPr="009F2022">
          <w:rPr>
            <w:rStyle w:val="Hyperlink"/>
            <w:rFonts w:ascii="Trebuchet MS" w:hAnsi="Trebuchet MS"/>
          </w:rPr>
          <w:t>https://en.wikipedia.org/wiki/Indian_Councils_Act_1909</w:t>
        </w:r>
      </w:hyperlink>
    </w:p>
    <w:p w:rsidR="009F2022" w:rsidRPr="009F2022" w:rsidRDefault="009F2022" w:rsidP="009F2022">
      <w:pPr>
        <w:pStyle w:val="NormalWeb"/>
        <w:rPr>
          <w:rFonts w:ascii="Trebuchet MS" w:hAnsi="Trebuchet MS"/>
        </w:rPr>
      </w:pPr>
      <w:r w:rsidRPr="009F2022">
        <w:rPr>
          <w:rFonts w:ascii="Trebuchet MS" w:hAnsi="Trebuchet MS"/>
        </w:rPr>
        <w:t>And:</w:t>
      </w:r>
    </w:p>
    <w:p w:rsidR="009F2022" w:rsidRPr="009F2022" w:rsidRDefault="009F2022" w:rsidP="009F2022">
      <w:pPr>
        <w:pStyle w:val="NormalWeb"/>
        <w:rPr>
          <w:rFonts w:ascii="Trebuchet MS" w:hAnsi="Trebuchet MS"/>
        </w:rPr>
      </w:pPr>
      <w:r w:rsidRPr="009F2022">
        <w:rPr>
          <w:rStyle w:val="Emphasis"/>
          <w:rFonts w:ascii="Trebuchet MS" w:hAnsi="Trebuchet MS"/>
        </w:rPr>
        <w:t>Curzon and Montagu</w:t>
      </w:r>
    </w:p>
    <w:p w:rsidR="009F2022" w:rsidRPr="009F2022" w:rsidRDefault="009F2022" w:rsidP="009F2022">
      <w:pPr>
        <w:pStyle w:val="NormalWeb"/>
        <w:rPr>
          <w:rFonts w:ascii="Trebuchet MS" w:hAnsi="Trebuchet MS"/>
        </w:rPr>
      </w:pPr>
      <w:r w:rsidRPr="009F2022">
        <w:rPr>
          <w:rFonts w:ascii="Trebuchet MS" w:hAnsi="Trebuchet MS"/>
        </w:rPr>
        <w:t>Edwin Samuel Montagu PC (1879 – 1924), Secretary of State for India between 1917 and 1922. Montagu was a "radical" Liberal. Wiki: "He was primarily responsible for the Montagu–Chelmsford Reforms which led to the Government of India Act 1919, committing the British to the eventual evolution of India towards dominion status."</w:t>
      </w:r>
    </w:p>
    <w:p w:rsidR="009F2022" w:rsidRPr="009F2022" w:rsidRDefault="009F2022" w:rsidP="009F2022">
      <w:pPr>
        <w:pStyle w:val="NormalWeb"/>
        <w:rPr>
          <w:rFonts w:ascii="Trebuchet MS" w:hAnsi="Trebuchet MS"/>
        </w:rPr>
      </w:pPr>
      <w:r w:rsidRPr="009F2022">
        <w:rPr>
          <w:rFonts w:ascii="Trebuchet MS" w:hAnsi="Trebuchet MS"/>
        </w:rPr>
        <w:t xml:space="preserve">Here, below, is a fascinating piece which shows Curzon to be the author of a vital document, “The Montagu Declaration” of 1917 which appeared to propose the thorough </w:t>
      </w:r>
      <w:proofErr w:type="spellStart"/>
      <w:r w:rsidRPr="009F2022">
        <w:rPr>
          <w:rFonts w:ascii="Trebuchet MS" w:hAnsi="Trebuchet MS"/>
        </w:rPr>
        <w:t>Indianisation</w:t>
      </w:r>
      <w:proofErr w:type="spellEnd"/>
      <w:r w:rsidRPr="009F2022">
        <w:rPr>
          <w:rFonts w:ascii="Trebuchet MS" w:hAnsi="Trebuchet MS"/>
        </w:rPr>
        <w:t xml:space="preserve"> of the government of India and was soon to become government policy. This </w:t>
      </w:r>
      <w:proofErr w:type="spellStart"/>
      <w:r w:rsidRPr="009F2022">
        <w:rPr>
          <w:rFonts w:ascii="Trebuchet MS" w:hAnsi="Trebuchet MS"/>
        </w:rPr>
        <w:t>inspite</w:t>
      </w:r>
      <w:proofErr w:type="spellEnd"/>
      <w:r w:rsidRPr="009F2022">
        <w:rPr>
          <w:rFonts w:ascii="Trebuchet MS" w:hAnsi="Trebuchet MS"/>
        </w:rPr>
        <w:t xml:space="preserve"> of Curzon’s being an out-and-out imperialist. Robin Moore unpicks this story to suggest that WW1 had changed Curzon’s mind in </w:t>
      </w:r>
      <w:proofErr w:type="spellStart"/>
      <w:r w:rsidRPr="009F2022">
        <w:rPr>
          <w:rFonts w:ascii="Trebuchet MS" w:hAnsi="Trebuchet MS"/>
        </w:rPr>
        <w:t>favour</w:t>
      </w:r>
      <w:proofErr w:type="spellEnd"/>
      <w:r w:rsidRPr="009F2022">
        <w:rPr>
          <w:rFonts w:ascii="Trebuchet MS" w:hAnsi="Trebuchet MS"/>
        </w:rPr>
        <w:t xml:space="preserve"> of giving more power to Indians. But there are subtleties. Moore shows that Curzon (as recently retired Viceroy and </w:t>
      </w:r>
      <w:proofErr w:type="gramStart"/>
      <w:r w:rsidRPr="009F2022">
        <w:rPr>
          <w:rFonts w:ascii="Trebuchet MS" w:hAnsi="Trebuchet MS"/>
        </w:rPr>
        <w:t>Montagu(</w:t>
      </w:r>
      <w:proofErr w:type="gramEnd"/>
      <w:r w:rsidRPr="009F2022">
        <w:rPr>
          <w:rFonts w:ascii="Trebuchet MS" w:hAnsi="Trebuchet MS"/>
        </w:rPr>
        <w:t xml:space="preserve"> as Secretary of State for India) had different views on the workings of </w:t>
      </w:r>
      <w:proofErr w:type="spellStart"/>
      <w:r w:rsidRPr="009F2022">
        <w:rPr>
          <w:rFonts w:ascii="Trebuchet MS" w:hAnsi="Trebuchet MS"/>
        </w:rPr>
        <w:t>Indianisation</w:t>
      </w:r>
      <w:proofErr w:type="spellEnd"/>
      <w:r w:rsidRPr="009F2022">
        <w:rPr>
          <w:rFonts w:ascii="Trebuchet MS" w:hAnsi="Trebuchet MS"/>
        </w:rPr>
        <w:t xml:space="preserve">. Curzon in his own words in 1917) did “not </w:t>
      </w:r>
      <w:proofErr w:type="gramStart"/>
      <w:r w:rsidRPr="009F2022">
        <w:rPr>
          <w:rFonts w:ascii="Trebuchet MS" w:hAnsi="Trebuchet MS"/>
        </w:rPr>
        <w:t>dissent from the broad view</w:t>
      </w:r>
      <w:proofErr w:type="gramEnd"/>
      <w:r w:rsidRPr="009F2022">
        <w:rPr>
          <w:rFonts w:ascii="Trebuchet MS" w:hAnsi="Trebuchet MS"/>
        </w:rPr>
        <w:t xml:space="preserve"> that [in] some form or other .... </w:t>
      </w:r>
      <w:proofErr w:type="gramStart"/>
      <w:r w:rsidRPr="009F2022">
        <w:rPr>
          <w:rFonts w:ascii="Trebuchet MS" w:hAnsi="Trebuchet MS"/>
        </w:rPr>
        <w:t>self-government</w:t>
      </w:r>
      <w:proofErr w:type="gramEnd"/>
      <w:r w:rsidRPr="009F2022">
        <w:rPr>
          <w:rFonts w:ascii="Trebuchet MS" w:hAnsi="Trebuchet MS"/>
        </w:rPr>
        <w:t xml:space="preserve"> within the British Empire is the goal at which we aim”. But the British should insist the policy could only succeed “under British guidance” and on the assumption “that there was no intention to weaken the essential safeguards of British justice and British power”.</w:t>
      </w:r>
    </w:p>
    <w:p w:rsidR="009F2022" w:rsidRPr="009F2022" w:rsidRDefault="009F2022" w:rsidP="009F2022">
      <w:pPr>
        <w:pStyle w:val="NormalWeb"/>
        <w:rPr>
          <w:rFonts w:ascii="Trebuchet MS" w:hAnsi="Trebuchet MS"/>
        </w:rPr>
      </w:pPr>
      <w:r w:rsidRPr="009F2022">
        <w:rPr>
          <w:rFonts w:ascii="Trebuchet MS" w:hAnsi="Trebuchet MS"/>
        </w:rPr>
        <w:t>I think the opposition to “reform” came as much from people who thought it went too far as from people who thought it didn’t go far enough. In the upshot, India – and not least many of its nationalists - played a noble role at Britain’s side in two world wars and after the second gained independence immediately.</w:t>
      </w:r>
    </w:p>
    <w:p w:rsidR="009F2022" w:rsidRPr="009F2022" w:rsidRDefault="009F2022" w:rsidP="009F2022">
      <w:pPr>
        <w:pStyle w:val="NormalWeb"/>
        <w:rPr>
          <w:rFonts w:ascii="Trebuchet MS" w:hAnsi="Trebuchet MS"/>
        </w:rPr>
      </w:pPr>
      <w:r w:rsidRPr="009F2022">
        <w:rPr>
          <w:rFonts w:ascii="Trebuchet MS" w:hAnsi="Trebuchet MS"/>
        </w:rPr>
        <w:lastRenderedPageBreak/>
        <w:t>Here’s the source from which I draw these thoughts and quotes</w:t>
      </w:r>
      <w:proofErr w:type="gramStart"/>
      <w:r w:rsidRPr="009F2022">
        <w:rPr>
          <w:rFonts w:ascii="Trebuchet MS" w:hAnsi="Trebuchet MS"/>
        </w:rPr>
        <w:t>:</w:t>
      </w:r>
      <w:proofErr w:type="gramEnd"/>
      <w:r w:rsidRPr="009F2022">
        <w:rPr>
          <w:rFonts w:ascii="Trebuchet MS" w:hAnsi="Trebuchet MS"/>
        </w:rPr>
        <w:br/>
        <w:t>Moore, R. J. (Robin James), The crisis of Indian unity, 1917-1940, Clarendon, 1974</w:t>
      </w:r>
      <w:r w:rsidRPr="009F2022">
        <w:rPr>
          <w:rFonts w:ascii="Trebuchet MS" w:hAnsi="Trebuchet MS"/>
        </w:rPr>
        <w:br/>
        <w:t>Accessed at Internet Archive</w:t>
      </w:r>
    </w:p>
    <w:p w:rsidR="009F2022" w:rsidRPr="009F2022" w:rsidRDefault="009F2022" w:rsidP="009F2022">
      <w:pPr>
        <w:pStyle w:val="NormalWeb"/>
        <w:rPr>
          <w:rFonts w:ascii="Trebuchet MS" w:hAnsi="Trebuchet MS"/>
        </w:rPr>
      </w:pPr>
      <w:r w:rsidRPr="009F2022">
        <w:rPr>
          <w:rFonts w:ascii="Trebuchet MS" w:hAnsi="Trebuchet MS"/>
        </w:rPr>
        <w:t>And</w:t>
      </w:r>
    </w:p>
    <w:p w:rsidR="009F2022" w:rsidRPr="009F2022" w:rsidRDefault="009F2022" w:rsidP="009F2022">
      <w:pPr>
        <w:pStyle w:val="NormalWeb"/>
        <w:rPr>
          <w:rFonts w:ascii="Trebuchet MS" w:hAnsi="Trebuchet MS"/>
        </w:rPr>
      </w:pPr>
      <w:r w:rsidRPr="009F2022">
        <w:rPr>
          <w:rFonts w:ascii="Trebuchet MS" w:hAnsi="Trebuchet MS"/>
        </w:rPr>
        <w:t>Moore, Robin J. “Curzon and Indian Reform.” Modern Asian Studies, vol. 27, no. 4, 1993, pp. 719–40</w:t>
      </w:r>
    </w:p>
    <w:p w:rsidR="009F2022" w:rsidRPr="009F2022" w:rsidRDefault="009F2022" w:rsidP="009F2022">
      <w:pPr>
        <w:pStyle w:val="NormalWeb"/>
        <w:rPr>
          <w:rFonts w:ascii="Trebuchet MS" w:hAnsi="Trebuchet MS"/>
        </w:rPr>
      </w:pPr>
      <w:r w:rsidRPr="009F2022">
        <w:rPr>
          <w:rFonts w:ascii="Trebuchet MS" w:hAnsi="Trebuchet MS"/>
        </w:rPr>
        <w:t>Available online at</w:t>
      </w:r>
      <w:proofErr w:type="gramStart"/>
      <w:r w:rsidRPr="009F2022">
        <w:rPr>
          <w:rFonts w:ascii="Trebuchet MS" w:hAnsi="Trebuchet MS"/>
        </w:rPr>
        <w:t>:</w:t>
      </w:r>
      <w:proofErr w:type="gramEnd"/>
      <w:r w:rsidRPr="009F2022">
        <w:rPr>
          <w:rFonts w:ascii="Trebuchet MS" w:hAnsi="Trebuchet MS"/>
        </w:rPr>
        <w:br/>
        <w:t xml:space="preserve">Moore, R. J. (1993). </w:t>
      </w:r>
      <w:proofErr w:type="gramStart"/>
      <w:r w:rsidRPr="009F2022">
        <w:rPr>
          <w:rFonts w:ascii="Trebuchet MS" w:hAnsi="Trebuchet MS"/>
        </w:rPr>
        <w:t>Curzon and Indian Reform on JSTOR.</w:t>
      </w:r>
      <w:proofErr w:type="gramEnd"/>
      <w:r w:rsidRPr="009F2022">
        <w:rPr>
          <w:rFonts w:ascii="Trebuchet MS" w:hAnsi="Trebuchet MS"/>
        </w:rPr>
        <w:t xml:space="preserve"> </w:t>
      </w:r>
      <w:proofErr w:type="gramStart"/>
      <w:r w:rsidRPr="009F2022">
        <w:rPr>
          <w:rFonts w:ascii="Trebuchet MS" w:hAnsi="Trebuchet MS"/>
        </w:rPr>
        <w:t>Modern Asian Studies, 719.</w:t>
      </w:r>
      <w:proofErr w:type="gramEnd"/>
      <w:r w:rsidRPr="009F2022">
        <w:rPr>
          <w:rFonts w:ascii="Trebuchet MS" w:hAnsi="Trebuchet MS"/>
        </w:rPr>
        <w:t xml:space="preserve"> </w:t>
      </w:r>
      <w:hyperlink r:id="rId10" w:history="1">
        <w:r w:rsidRPr="009F2022">
          <w:rPr>
            <w:rStyle w:val="Hyperlink"/>
            <w:rFonts w:ascii="Trebuchet MS" w:hAnsi="Trebuchet MS"/>
          </w:rPr>
          <w:t>https://doi.org/312829</w:t>
        </w:r>
      </w:hyperlink>
      <w:r w:rsidRPr="009F2022">
        <w:rPr>
          <w:rFonts w:ascii="Trebuchet MS" w:hAnsi="Trebuchet MS"/>
        </w:rPr>
        <w:br/>
      </w:r>
      <w:hyperlink r:id="rId11" w:history="1">
        <w:r w:rsidRPr="009F2022">
          <w:rPr>
            <w:rStyle w:val="Hyperlink"/>
            <w:rFonts w:ascii="Trebuchet MS" w:hAnsi="Trebuchet MS"/>
          </w:rPr>
          <w:t>https://www.jstor.org/stable/312829</w:t>
        </w:r>
      </w:hyperlink>
    </w:p>
    <w:p w:rsidR="009F2022" w:rsidRPr="005265EF" w:rsidRDefault="009F2022" w:rsidP="009F2022">
      <w:pPr>
        <w:pStyle w:val="NormalWeb"/>
        <w:rPr>
          <w:rFonts w:ascii="Trebuchet MS" w:hAnsi="Trebuchet MS"/>
          <w:i/>
        </w:rPr>
      </w:pPr>
      <w:proofErr w:type="spellStart"/>
      <w:r w:rsidRPr="005265EF">
        <w:rPr>
          <w:rFonts w:ascii="Trebuchet MS" w:hAnsi="Trebuchet MS"/>
          <w:i/>
        </w:rPr>
        <w:t>Hardinge</w:t>
      </w:r>
      <w:proofErr w:type="spellEnd"/>
    </w:p>
    <w:p w:rsidR="009F2022" w:rsidRPr="009F2022" w:rsidRDefault="009436FA" w:rsidP="009F2022">
      <w:pPr>
        <w:pStyle w:val="NormalWeb"/>
        <w:rPr>
          <w:rFonts w:ascii="Trebuchet MS" w:hAnsi="Trebuchet MS"/>
        </w:rPr>
      </w:pPr>
      <w:hyperlink r:id="rId12" w:history="1">
        <w:r w:rsidR="009F2022" w:rsidRPr="009F2022">
          <w:rPr>
            <w:rStyle w:val="Hyperlink"/>
            <w:rFonts w:ascii="Trebuchet MS" w:hAnsi="Trebuchet MS"/>
          </w:rPr>
          <w:t>https://indianculture.gov.in/digital-district-repository/district-repository/understanding-facade-colonial-legislature-morley</w:t>
        </w:r>
      </w:hyperlink>
    </w:p>
    <w:p w:rsidR="009F2022" w:rsidRPr="009F2022" w:rsidRDefault="009F2022" w:rsidP="009F2022">
      <w:pPr>
        <w:pStyle w:val="NormalWeb"/>
        <w:rPr>
          <w:rFonts w:ascii="Trebuchet MS" w:hAnsi="Trebuchet MS"/>
        </w:rPr>
      </w:pPr>
      <w:r w:rsidRPr="009F2022">
        <w:rPr>
          <w:rFonts w:ascii="Trebuchet MS" w:hAnsi="Trebuchet MS"/>
        </w:rPr>
        <w:t xml:space="preserve">This is an account of the assassination attempt on the life of Charles </w:t>
      </w:r>
      <w:proofErr w:type="spellStart"/>
      <w:r w:rsidRPr="009F2022">
        <w:rPr>
          <w:rFonts w:ascii="Trebuchet MS" w:hAnsi="Trebuchet MS"/>
        </w:rPr>
        <w:t>Hardinge</w:t>
      </w:r>
      <w:proofErr w:type="spellEnd"/>
      <w:r w:rsidRPr="009F2022">
        <w:rPr>
          <w:rFonts w:ascii="Trebuchet MS" w:hAnsi="Trebuchet MS"/>
        </w:rPr>
        <w:t xml:space="preserve">, the Viceroy who implemented the much disputed 1909 </w:t>
      </w:r>
      <w:proofErr w:type="spellStart"/>
      <w:r w:rsidRPr="009F2022">
        <w:rPr>
          <w:rFonts w:ascii="Trebuchet MS" w:hAnsi="Trebuchet MS"/>
        </w:rPr>
        <w:t>Minto</w:t>
      </w:r>
      <w:proofErr w:type="spellEnd"/>
      <w:r w:rsidRPr="009F2022">
        <w:rPr>
          <w:rFonts w:ascii="Trebuchet MS" w:hAnsi="Trebuchet MS"/>
        </w:rPr>
        <w:t xml:space="preserve">-Morley reforms and improved relations between the British Empire and many of the activist nationalists. It speaks well, I think, of the mindsets of Indian nationalism, extreme and moderate; of the political tensions within and between India’s two main religions; of the doubts about the intentions of the </w:t>
      </w:r>
      <w:proofErr w:type="spellStart"/>
      <w:r w:rsidRPr="009F2022">
        <w:rPr>
          <w:rFonts w:ascii="Trebuchet MS" w:hAnsi="Trebuchet MS"/>
        </w:rPr>
        <w:t>Minto</w:t>
      </w:r>
      <w:proofErr w:type="spellEnd"/>
      <w:r w:rsidRPr="009F2022">
        <w:rPr>
          <w:rFonts w:ascii="Trebuchet MS" w:hAnsi="Trebuchet MS"/>
        </w:rPr>
        <w:t>-Morley reforms, and of their possible real effects.</w:t>
      </w:r>
    </w:p>
    <w:p w:rsidR="009F2022" w:rsidRPr="009F2022" w:rsidRDefault="009F2022" w:rsidP="009F2022">
      <w:pPr>
        <w:pStyle w:val="NormalWeb"/>
        <w:rPr>
          <w:rFonts w:ascii="Trebuchet MS" w:hAnsi="Trebuchet MS"/>
        </w:rPr>
      </w:pPr>
      <w:r w:rsidRPr="009F2022">
        <w:rPr>
          <w:rFonts w:ascii="Trebuchet MS" w:hAnsi="Trebuchet MS"/>
        </w:rPr>
        <w:t>And:</w:t>
      </w:r>
    </w:p>
    <w:p w:rsidR="009F2022" w:rsidRPr="009F2022" w:rsidRDefault="009F2022" w:rsidP="009F2022">
      <w:pPr>
        <w:pStyle w:val="NormalWeb"/>
        <w:rPr>
          <w:rFonts w:ascii="Trebuchet MS" w:hAnsi="Trebuchet MS"/>
        </w:rPr>
      </w:pPr>
      <w:proofErr w:type="spellStart"/>
      <w:r w:rsidRPr="009F2022">
        <w:rPr>
          <w:rFonts w:ascii="Trebuchet MS" w:hAnsi="Trebuchet MS"/>
        </w:rPr>
        <w:t>Nathala</w:t>
      </w:r>
      <w:proofErr w:type="spellEnd"/>
      <w:r w:rsidRPr="009F2022">
        <w:rPr>
          <w:rFonts w:ascii="Trebuchet MS" w:hAnsi="Trebuchet MS"/>
        </w:rPr>
        <w:t xml:space="preserve"> </w:t>
      </w:r>
      <w:proofErr w:type="spellStart"/>
      <w:r w:rsidRPr="009F2022">
        <w:rPr>
          <w:rFonts w:ascii="Trebuchet MS" w:hAnsi="Trebuchet MS"/>
        </w:rPr>
        <w:t>Varshith</w:t>
      </w:r>
      <w:proofErr w:type="spellEnd"/>
      <w:r w:rsidRPr="009F2022">
        <w:rPr>
          <w:rFonts w:ascii="Trebuchet MS" w:hAnsi="Trebuchet MS"/>
        </w:rPr>
        <w:t xml:space="preserve"> Reddy, “The Delhi conspiracy case of 1912 and the role of British intelligence agencies in solving it”, International Journal of Humanities and Arts 2024, December 2023</w:t>
      </w:r>
      <w:r w:rsidRPr="009F2022">
        <w:rPr>
          <w:rFonts w:ascii="Trebuchet MS" w:hAnsi="Trebuchet MS"/>
        </w:rPr>
        <w:br/>
        <w:t xml:space="preserve">Reddy is a Research Scholar, Department of History, </w:t>
      </w:r>
      <w:proofErr w:type="spellStart"/>
      <w:r w:rsidRPr="009F2022">
        <w:rPr>
          <w:rFonts w:ascii="Trebuchet MS" w:hAnsi="Trebuchet MS"/>
        </w:rPr>
        <w:t>Osmania</w:t>
      </w:r>
      <w:proofErr w:type="spellEnd"/>
      <w:r w:rsidRPr="009F2022">
        <w:rPr>
          <w:rFonts w:ascii="Trebuchet MS" w:hAnsi="Trebuchet MS"/>
        </w:rPr>
        <w:t xml:space="preserve"> University, Hyderabad, </w:t>
      </w:r>
      <w:proofErr w:type="spellStart"/>
      <w:r w:rsidRPr="009F2022">
        <w:rPr>
          <w:rFonts w:ascii="Trebuchet MS" w:hAnsi="Trebuchet MS"/>
        </w:rPr>
        <w:t>Telangana</w:t>
      </w:r>
      <w:proofErr w:type="spellEnd"/>
      <w:r w:rsidRPr="009F2022">
        <w:rPr>
          <w:rFonts w:ascii="Trebuchet MS" w:hAnsi="Trebuchet MS"/>
        </w:rPr>
        <w:t>, India.</w:t>
      </w:r>
      <w:r w:rsidRPr="009F2022">
        <w:rPr>
          <w:rFonts w:ascii="Trebuchet MS" w:hAnsi="Trebuchet MS"/>
        </w:rPr>
        <w:br/>
        <w:t>Accessed at:</w:t>
      </w:r>
    </w:p>
    <w:p w:rsidR="009F2022" w:rsidRPr="009F2022" w:rsidRDefault="009436FA" w:rsidP="009F2022">
      <w:pPr>
        <w:pStyle w:val="NormalWeb"/>
        <w:rPr>
          <w:rFonts w:ascii="Trebuchet MS" w:hAnsi="Trebuchet MS"/>
        </w:rPr>
      </w:pPr>
      <w:hyperlink r:id="rId13" w:history="1">
        <w:r w:rsidR="009F2022" w:rsidRPr="009F2022">
          <w:rPr>
            <w:rStyle w:val="Hyperlink"/>
            <w:rFonts w:ascii="Trebuchet MS" w:hAnsi="Trebuchet MS"/>
          </w:rPr>
          <w:t>https://doi.org/10.33545/26647699.2024.v6.i1a.60</w:t>
        </w:r>
      </w:hyperlink>
      <w:r w:rsidR="005265EF">
        <w:br/>
      </w:r>
      <w:r w:rsidR="005265EF">
        <w:br/>
        <w:t>______________</w:t>
      </w:r>
    </w:p>
    <w:p w:rsidR="009F2022" w:rsidRPr="009F2022" w:rsidRDefault="005265EF" w:rsidP="009F2022">
      <w:pPr>
        <w:pStyle w:val="NormalWeb"/>
        <w:rPr>
          <w:rFonts w:ascii="Trebuchet MS" w:hAnsi="Trebuchet MS"/>
        </w:rPr>
      </w:pPr>
      <w:r w:rsidRPr="005265EF">
        <w:rPr>
          <w:rFonts w:ascii="Trebuchet MS" w:hAnsi="Trebuchet MS"/>
          <w:i/>
        </w:rPr>
        <w:t>Post-colonial New Delhi</w:t>
      </w:r>
      <w:r>
        <w:rPr>
          <w:rFonts w:ascii="Trebuchet MS" w:hAnsi="Trebuchet MS"/>
        </w:rPr>
        <w:br/>
      </w:r>
      <w:r>
        <w:rPr>
          <w:rFonts w:ascii="Trebuchet MS" w:hAnsi="Trebuchet MS"/>
        </w:rPr>
        <w:br/>
      </w:r>
      <w:proofErr w:type="spellStart"/>
      <w:r w:rsidR="009F2022" w:rsidRPr="009F2022">
        <w:rPr>
          <w:rFonts w:ascii="Trebuchet MS" w:hAnsi="Trebuchet MS"/>
        </w:rPr>
        <w:t>Rashtrapati</w:t>
      </w:r>
      <w:proofErr w:type="spellEnd"/>
      <w:r w:rsidR="009F2022" w:rsidRPr="009F2022">
        <w:rPr>
          <w:rFonts w:ascii="Trebuchet MS" w:hAnsi="Trebuchet MS"/>
        </w:rPr>
        <w:t xml:space="preserve"> </w:t>
      </w:r>
      <w:proofErr w:type="spellStart"/>
      <w:proofErr w:type="gramStart"/>
      <w:r w:rsidR="009F2022" w:rsidRPr="009F2022">
        <w:rPr>
          <w:rFonts w:ascii="Trebuchet MS" w:hAnsi="Trebuchet MS"/>
        </w:rPr>
        <w:t>Bhavan</w:t>
      </w:r>
      <w:proofErr w:type="spellEnd"/>
      <w:proofErr w:type="gramEnd"/>
      <w:r w:rsidR="009F2022" w:rsidRPr="009F2022">
        <w:rPr>
          <w:rFonts w:ascii="Trebuchet MS" w:hAnsi="Trebuchet MS"/>
        </w:rPr>
        <w:br/>
        <w:t>(The Indian Presidential Palace, formerly The Viceroy’s House)</w:t>
      </w:r>
    </w:p>
    <w:p w:rsidR="009F2022" w:rsidRPr="009F2022" w:rsidRDefault="009F2022" w:rsidP="009F2022">
      <w:pPr>
        <w:pStyle w:val="NormalWeb"/>
        <w:rPr>
          <w:rFonts w:ascii="Trebuchet MS" w:hAnsi="Trebuchet MS"/>
        </w:rPr>
      </w:pPr>
      <w:r w:rsidRPr="009F2022">
        <w:rPr>
          <w:rFonts w:ascii="Trebuchet MS" w:hAnsi="Trebuchet MS"/>
        </w:rPr>
        <w:t xml:space="preserve">For good material on the present use of </w:t>
      </w:r>
      <w:proofErr w:type="spellStart"/>
      <w:r w:rsidRPr="009F2022">
        <w:rPr>
          <w:rFonts w:ascii="Trebuchet MS" w:hAnsi="Trebuchet MS"/>
        </w:rPr>
        <w:t>Rashtrapati</w:t>
      </w:r>
      <w:proofErr w:type="spellEnd"/>
      <w:r w:rsidRPr="009F2022">
        <w:rPr>
          <w:rFonts w:ascii="Trebuchet MS" w:hAnsi="Trebuchet MS"/>
        </w:rPr>
        <w:t xml:space="preserve"> </w:t>
      </w:r>
      <w:proofErr w:type="spellStart"/>
      <w:r w:rsidRPr="009F2022">
        <w:rPr>
          <w:rFonts w:ascii="Trebuchet MS" w:hAnsi="Trebuchet MS"/>
        </w:rPr>
        <w:t>Bhavan</w:t>
      </w:r>
      <w:proofErr w:type="spellEnd"/>
      <w:r w:rsidRPr="009F2022">
        <w:rPr>
          <w:rFonts w:ascii="Trebuchet MS" w:hAnsi="Trebuchet MS"/>
        </w:rPr>
        <w:t xml:space="preserve"> (and its library</w:t>
      </w:r>
      <w:proofErr w:type="gramStart"/>
      <w:r w:rsidRPr="009F2022">
        <w:rPr>
          <w:rFonts w:ascii="Trebuchet MS" w:hAnsi="Trebuchet MS"/>
        </w:rPr>
        <w:t>)</w:t>
      </w:r>
      <w:proofErr w:type="gramEnd"/>
      <w:r w:rsidRPr="009F2022">
        <w:rPr>
          <w:rFonts w:ascii="Trebuchet MS" w:hAnsi="Trebuchet MS"/>
        </w:rPr>
        <w:br/>
      </w:r>
      <w:hyperlink r:id="rId14" w:history="1">
        <w:r w:rsidRPr="009F2022">
          <w:rPr>
            <w:rStyle w:val="Hyperlink"/>
            <w:rFonts w:ascii="Trebuchet MS" w:hAnsi="Trebuchet MS"/>
          </w:rPr>
          <w:t>https://www.rashtrapatibhavan.gov.in/library</w:t>
        </w:r>
      </w:hyperlink>
    </w:p>
    <w:p w:rsidR="009F2022" w:rsidRPr="009F2022" w:rsidRDefault="009F2022" w:rsidP="009F2022">
      <w:pPr>
        <w:pStyle w:val="NormalWeb"/>
        <w:rPr>
          <w:rFonts w:ascii="Trebuchet MS" w:hAnsi="Trebuchet MS"/>
        </w:rPr>
      </w:pPr>
      <w:r w:rsidRPr="009F2022">
        <w:rPr>
          <w:rFonts w:ascii="Trebuchet MS" w:hAnsi="Trebuchet MS"/>
        </w:rPr>
        <w:lastRenderedPageBreak/>
        <w:t>And:</w:t>
      </w:r>
    </w:p>
    <w:p w:rsidR="009F2022" w:rsidRPr="009F2022" w:rsidRDefault="009F2022" w:rsidP="009F2022">
      <w:pPr>
        <w:pStyle w:val="NormalWeb"/>
        <w:rPr>
          <w:rFonts w:ascii="Trebuchet MS" w:hAnsi="Trebuchet MS"/>
        </w:rPr>
      </w:pPr>
      <w:proofErr w:type="gramStart"/>
      <w:r w:rsidRPr="009F2022">
        <w:rPr>
          <w:rFonts w:ascii="Trebuchet MS" w:hAnsi="Trebuchet MS"/>
        </w:rPr>
        <w:t xml:space="preserve">“Two paintings and a love story”, by Praveen </w:t>
      </w:r>
      <w:proofErr w:type="spellStart"/>
      <w:r w:rsidRPr="009F2022">
        <w:rPr>
          <w:rFonts w:ascii="Trebuchet MS" w:hAnsi="Trebuchet MS"/>
        </w:rPr>
        <w:t>Siddharth</w:t>
      </w:r>
      <w:proofErr w:type="spellEnd"/>
      <w:r w:rsidRPr="009F2022">
        <w:rPr>
          <w:rFonts w:ascii="Trebuchet MS" w:hAnsi="Trebuchet MS"/>
        </w:rPr>
        <w:t xml:space="preserve">, </w:t>
      </w:r>
      <w:r w:rsidRPr="009F2022">
        <w:rPr>
          <w:rStyle w:val="Emphasis"/>
          <w:rFonts w:ascii="Trebuchet MS" w:hAnsi="Trebuchet MS"/>
        </w:rPr>
        <w:t>Hindustan Times</w:t>
      </w:r>
      <w:r w:rsidRPr="009F2022">
        <w:rPr>
          <w:rFonts w:ascii="Trebuchet MS" w:hAnsi="Trebuchet MS"/>
        </w:rPr>
        <w:t>, 26 July, 2020.</w:t>
      </w:r>
      <w:proofErr w:type="gramEnd"/>
      <w:r w:rsidRPr="009F2022">
        <w:rPr>
          <w:rFonts w:ascii="Trebuchet MS" w:hAnsi="Trebuchet MS"/>
        </w:rPr>
        <w:t xml:space="preserve"> (The author was billed as Private Secretary to the President of India at </w:t>
      </w:r>
      <w:proofErr w:type="spellStart"/>
      <w:r w:rsidRPr="009F2022">
        <w:rPr>
          <w:rFonts w:ascii="Trebuchet MS" w:hAnsi="Trebuchet MS"/>
        </w:rPr>
        <w:t>Rashtrapati</w:t>
      </w:r>
      <w:proofErr w:type="spellEnd"/>
      <w:r w:rsidRPr="009F2022">
        <w:rPr>
          <w:rFonts w:ascii="Trebuchet MS" w:hAnsi="Trebuchet MS"/>
        </w:rPr>
        <w:t xml:space="preserve"> </w:t>
      </w:r>
      <w:proofErr w:type="spellStart"/>
      <w:r w:rsidRPr="009F2022">
        <w:rPr>
          <w:rFonts w:ascii="Trebuchet MS" w:hAnsi="Trebuchet MS"/>
        </w:rPr>
        <w:t>Bhavan</w:t>
      </w:r>
      <w:proofErr w:type="spellEnd"/>
      <w:r w:rsidRPr="009F2022">
        <w:rPr>
          <w:rFonts w:ascii="Trebuchet MS" w:hAnsi="Trebuchet MS"/>
        </w:rPr>
        <w:t>.)</w:t>
      </w:r>
    </w:p>
    <w:p w:rsidR="009F2022" w:rsidRPr="009F2022" w:rsidRDefault="009F2022" w:rsidP="009F2022">
      <w:pPr>
        <w:pStyle w:val="NormalWeb"/>
        <w:rPr>
          <w:rFonts w:ascii="Trebuchet MS" w:hAnsi="Trebuchet MS"/>
        </w:rPr>
      </w:pPr>
      <w:r w:rsidRPr="009F2022">
        <w:rPr>
          <w:rFonts w:ascii="Trebuchet MS" w:hAnsi="Trebuchet MS"/>
        </w:rPr>
        <w:t>Accessed at</w:t>
      </w:r>
      <w:proofErr w:type="gramStart"/>
      <w:r w:rsidRPr="009F2022">
        <w:rPr>
          <w:rFonts w:ascii="Trebuchet MS" w:hAnsi="Trebuchet MS"/>
        </w:rPr>
        <w:t>:</w:t>
      </w:r>
      <w:proofErr w:type="gramEnd"/>
      <w:r w:rsidRPr="009F2022">
        <w:rPr>
          <w:rFonts w:ascii="Trebuchet MS" w:hAnsi="Trebuchet MS"/>
        </w:rPr>
        <w:br/>
      </w:r>
      <w:hyperlink r:id="rId15" w:history="1">
        <w:r w:rsidRPr="009F2022">
          <w:rPr>
            <w:rStyle w:val="Hyperlink"/>
            <w:rFonts w:ascii="Trebuchet MS" w:hAnsi="Trebuchet MS"/>
          </w:rPr>
          <w:t>https://www.hindustantimes.com/art-and-culture/two-paintings-and-a-love-story/story-RbemBcH1gBSGvD5MB3MIjI.html</w:t>
        </w:r>
      </w:hyperlink>
    </w:p>
    <w:p w:rsidR="009F2022" w:rsidRPr="009F2022" w:rsidRDefault="009F2022" w:rsidP="009F2022">
      <w:pPr>
        <w:pStyle w:val="NormalWeb"/>
        <w:rPr>
          <w:rFonts w:ascii="Trebuchet MS" w:hAnsi="Trebuchet MS"/>
        </w:rPr>
      </w:pPr>
      <w:r w:rsidRPr="009F2022">
        <w:rPr>
          <w:rFonts w:ascii="Trebuchet MS" w:hAnsi="Trebuchet MS"/>
        </w:rPr>
        <w:t>And:</w:t>
      </w:r>
    </w:p>
    <w:p w:rsidR="009F2022" w:rsidRPr="009F2022" w:rsidRDefault="009F2022" w:rsidP="009F2022">
      <w:pPr>
        <w:pStyle w:val="NormalWeb"/>
        <w:rPr>
          <w:rFonts w:ascii="Trebuchet MS" w:hAnsi="Trebuchet MS"/>
        </w:rPr>
      </w:pPr>
      <w:r w:rsidRPr="009F2022">
        <w:rPr>
          <w:rFonts w:ascii="Trebuchet MS" w:hAnsi="Trebuchet MS"/>
        </w:rPr>
        <w:t xml:space="preserve">New Delhi Capitol Complex: From Edwin </w:t>
      </w:r>
      <w:proofErr w:type="spellStart"/>
      <w:r w:rsidRPr="009F2022">
        <w:rPr>
          <w:rFonts w:ascii="Trebuchet MS" w:hAnsi="Trebuchet MS"/>
        </w:rPr>
        <w:t>Lutyens</w:t>
      </w:r>
      <w:proofErr w:type="spellEnd"/>
      <w:r w:rsidRPr="009F2022">
        <w:rPr>
          <w:rFonts w:ascii="Trebuchet MS" w:hAnsi="Trebuchet MS"/>
        </w:rPr>
        <w:t xml:space="preserve"> &amp; Herbert Baker On To </w:t>
      </w:r>
      <w:proofErr w:type="spellStart"/>
      <w:r w:rsidRPr="009F2022">
        <w:rPr>
          <w:rFonts w:ascii="Trebuchet MS" w:hAnsi="Trebuchet MS"/>
        </w:rPr>
        <w:t>Bimal</w:t>
      </w:r>
      <w:proofErr w:type="spellEnd"/>
      <w:r w:rsidRPr="009F2022">
        <w:rPr>
          <w:rFonts w:ascii="Trebuchet MS" w:hAnsi="Trebuchet MS"/>
        </w:rPr>
        <w:t xml:space="preserve"> Patel, by </w:t>
      </w:r>
      <w:proofErr w:type="spellStart"/>
      <w:r w:rsidRPr="009F2022">
        <w:rPr>
          <w:rFonts w:ascii="Trebuchet MS" w:hAnsi="Trebuchet MS"/>
        </w:rPr>
        <w:t>Sarbjit</w:t>
      </w:r>
      <w:proofErr w:type="spellEnd"/>
      <w:r w:rsidRPr="009F2022">
        <w:rPr>
          <w:rFonts w:ascii="Trebuchet MS" w:hAnsi="Trebuchet MS"/>
        </w:rPr>
        <w:t xml:space="preserve"> </w:t>
      </w:r>
      <w:proofErr w:type="spellStart"/>
      <w:r w:rsidRPr="009F2022">
        <w:rPr>
          <w:rFonts w:ascii="Trebuchet MS" w:hAnsi="Trebuchet MS"/>
        </w:rPr>
        <w:t>Bahga</w:t>
      </w:r>
      <w:proofErr w:type="spellEnd"/>
      <w:r w:rsidRPr="009F2022">
        <w:rPr>
          <w:rFonts w:ascii="Trebuchet MS" w:hAnsi="Trebuchet MS"/>
        </w:rPr>
        <w:t>, India Architecture News, 2 November, 2019</w:t>
      </w:r>
    </w:p>
    <w:p w:rsidR="009F2022" w:rsidRPr="009F2022" w:rsidRDefault="009436FA" w:rsidP="009F2022">
      <w:pPr>
        <w:pStyle w:val="NormalWeb"/>
        <w:rPr>
          <w:rFonts w:ascii="Trebuchet MS" w:hAnsi="Trebuchet MS"/>
        </w:rPr>
      </w:pPr>
      <w:hyperlink r:id="rId16" w:history="1">
        <w:r w:rsidR="009F2022" w:rsidRPr="009F2022">
          <w:rPr>
            <w:rStyle w:val="Hyperlink"/>
            <w:rFonts w:ascii="Trebuchet MS" w:hAnsi="Trebuchet MS"/>
          </w:rPr>
          <w:t>https://worldarchitecture.org/article-links/eehmv/new-delhi-capitol-complex-from-edwin-lutyens-herbert-baker-on-to-bimal-patel.html</w:t>
        </w:r>
      </w:hyperlink>
    </w:p>
    <w:p w:rsidR="009F2022" w:rsidRDefault="009F2022" w:rsidP="009F2022">
      <w:pPr>
        <w:pStyle w:val="NormalWeb"/>
        <w:rPr>
          <w:rFonts w:ascii="Trebuchet MS" w:hAnsi="Trebuchet MS"/>
        </w:rPr>
      </w:pPr>
      <w:r w:rsidRPr="009F2022">
        <w:rPr>
          <w:rFonts w:ascii="Trebuchet MS" w:hAnsi="Trebuchet MS"/>
        </w:rPr>
        <w:t>And</w:t>
      </w:r>
      <w:proofErr w:type="gramStart"/>
      <w:r w:rsidRPr="009F2022">
        <w:rPr>
          <w:rFonts w:ascii="Trebuchet MS" w:hAnsi="Trebuchet MS"/>
        </w:rPr>
        <w:t>:</w:t>
      </w:r>
      <w:proofErr w:type="gramEnd"/>
      <w:r w:rsidR="005265EF">
        <w:rPr>
          <w:rFonts w:ascii="Trebuchet MS" w:hAnsi="Trebuchet MS"/>
        </w:rPr>
        <w:br/>
      </w:r>
      <w:r w:rsidR="005265EF">
        <w:rPr>
          <w:rFonts w:ascii="Trebuchet MS" w:hAnsi="Trebuchet MS"/>
        </w:rPr>
        <w:br/>
      </w:r>
      <w:hyperlink r:id="rId17" w:history="1">
        <w:r w:rsidR="005265EF" w:rsidRPr="00AE7C3E">
          <w:rPr>
            <w:rStyle w:val="Hyperlink"/>
            <w:rFonts w:ascii="Trebuchet MS" w:hAnsi="Trebuchet MS"/>
          </w:rPr>
          <w:t>https://indianculture.gov.in/system/files/paintingimage/Select-Paintings-of-Rashtrapati-Bhavan-21.jpg</w:t>
        </w:r>
      </w:hyperlink>
      <w:r w:rsidR="005265EF">
        <w:rPr>
          <w:rFonts w:ascii="Trebuchet MS" w:hAnsi="Trebuchet MS"/>
        </w:rPr>
        <w:br/>
      </w:r>
      <w:r w:rsidR="005265EF" w:rsidRPr="009F2022">
        <w:rPr>
          <w:rFonts w:ascii="Trebuchet MS" w:hAnsi="Trebuchet MS"/>
        </w:rPr>
        <w:t xml:space="preserve">Submitted by </w:t>
      </w:r>
      <w:proofErr w:type="spellStart"/>
      <w:r w:rsidR="005265EF" w:rsidRPr="009F2022">
        <w:rPr>
          <w:rFonts w:ascii="Trebuchet MS" w:hAnsi="Trebuchet MS"/>
        </w:rPr>
        <w:t>Sarbjit</w:t>
      </w:r>
      <w:proofErr w:type="spellEnd"/>
      <w:r w:rsidR="005265EF" w:rsidRPr="009F2022">
        <w:rPr>
          <w:rFonts w:ascii="Trebuchet MS" w:hAnsi="Trebuchet MS"/>
        </w:rPr>
        <w:t xml:space="preserve"> </w:t>
      </w:r>
      <w:proofErr w:type="spellStart"/>
      <w:r w:rsidR="005265EF" w:rsidRPr="009F2022">
        <w:rPr>
          <w:rFonts w:ascii="Trebuchet MS" w:hAnsi="Trebuchet MS"/>
        </w:rPr>
        <w:t>Bahga</w:t>
      </w:r>
      <w:proofErr w:type="spellEnd"/>
      <w:r w:rsidR="004F519E">
        <w:rPr>
          <w:rFonts w:ascii="Trebuchet MS" w:hAnsi="Trebuchet MS"/>
        </w:rPr>
        <w:br/>
      </w:r>
    </w:p>
    <w:p w:rsidR="00153922" w:rsidRPr="009F2022" w:rsidRDefault="004F519E" w:rsidP="00153922">
      <w:pPr>
        <w:pStyle w:val="NormalWeb"/>
        <w:rPr>
          <w:rFonts w:ascii="Trebuchet MS" w:hAnsi="Trebuchet MS"/>
        </w:rPr>
      </w:pPr>
      <w:bookmarkStart w:id="7" w:name="App3"/>
      <w:bookmarkEnd w:id="7"/>
      <w:r w:rsidRPr="004F519E">
        <w:rPr>
          <w:rFonts w:ascii="Trebuchet MS" w:hAnsi="Trebuchet MS"/>
          <w:b/>
        </w:rPr>
        <w:t>Appendix #3: 1911 Coronation celebrations in London and India</w:t>
      </w:r>
      <w:r>
        <w:rPr>
          <w:rFonts w:ascii="Trebuchet MS" w:hAnsi="Trebuchet MS"/>
          <w:b/>
        </w:rPr>
        <w:br/>
      </w:r>
      <w:r>
        <w:rPr>
          <w:rFonts w:ascii="Trebuchet MS" w:hAnsi="Trebuchet MS"/>
          <w:b/>
        </w:rPr>
        <w:br/>
      </w:r>
      <w:proofErr w:type="gramStart"/>
      <w:r w:rsidRPr="004F519E">
        <w:rPr>
          <w:rFonts w:ascii="Trebuchet MS" w:hAnsi="Trebuchet MS"/>
        </w:rPr>
        <w:t>The</w:t>
      </w:r>
      <w:proofErr w:type="gramEnd"/>
      <w:r w:rsidRPr="004F519E">
        <w:rPr>
          <w:rFonts w:ascii="Trebuchet MS" w:hAnsi="Trebuchet MS"/>
        </w:rPr>
        <w:t xml:space="preserve"> 1911 Coronation ceremony in Westminster Abbey included flags of the Dominions and Colonies, and there were Indian troops in the procession between Buckingham Palace and the Abbey (before or after the ceremony, or both). Later that year, Britain’s Indian government staged one of its vast Imperial (or “Delhi”) coronation Durbars (1873, 1877 and 1911) with the last being the first with the Emperor of India – George V - in attendance. These gatherings, viewed cynically, combined the flattering of Indian opinion and the empowerment of Empire. </w:t>
      </w:r>
      <w:r w:rsidR="00153922">
        <w:rPr>
          <w:rFonts w:ascii="Trebuchet MS" w:hAnsi="Trebuchet MS"/>
        </w:rPr>
        <w:br/>
      </w:r>
      <w:r w:rsidR="00153922">
        <w:rPr>
          <w:rFonts w:ascii="Trebuchet MS" w:hAnsi="Trebuchet MS"/>
        </w:rPr>
        <w:br/>
      </w:r>
      <w:r w:rsidR="00153922" w:rsidRPr="005265EF">
        <w:rPr>
          <w:rFonts w:ascii="Trebuchet MS" w:hAnsi="Trebuchet MS"/>
          <w:i/>
        </w:rPr>
        <w:t>Colonial troops in London, 1911</w:t>
      </w:r>
      <w:r w:rsidR="00153922">
        <w:rPr>
          <w:rFonts w:ascii="Trebuchet MS" w:hAnsi="Trebuchet MS"/>
        </w:rPr>
        <w:br/>
      </w:r>
      <w:r w:rsidR="00153922">
        <w:rPr>
          <w:rFonts w:ascii="Trebuchet MS" w:hAnsi="Trebuchet MS"/>
        </w:rPr>
        <w:br/>
      </w:r>
      <w:r w:rsidR="00153922" w:rsidRPr="009F2022">
        <w:rPr>
          <w:rFonts w:ascii="Trebuchet MS" w:hAnsi="Trebuchet MS"/>
        </w:rPr>
        <w:t>Colonial Troops in 1911 Coronation procession</w:t>
      </w:r>
      <w:r w:rsidR="00153922" w:rsidRPr="009F2022">
        <w:rPr>
          <w:rFonts w:ascii="Trebuchet MS" w:hAnsi="Trebuchet MS"/>
        </w:rPr>
        <w:br/>
      </w:r>
      <w:hyperlink r:id="rId18" w:history="1">
        <w:r w:rsidR="00153922" w:rsidRPr="009F2022">
          <w:rPr>
            <w:rStyle w:val="Hyperlink"/>
            <w:rFonts w:ascii="Trebuchet MS" w:hAnsi="Trebuchet MS"/>
          </w:rPr>
          <w:t>https://www.iwm.org.uk/collections/item/object/1060000077</w:t>
        </w:r>
      </w:hyperlink>
    </w:p>
    <w:p w:rsidR="00153922" w:rsidRDefault="00153922" w:rsidP="00153922">
      <w:pPr>
        <w:pStyle w:val="NormalWeb"/>
        <w:rPr>
          <w:rFonts w:ascii="Trebuchet MS" w:hAnsi="Trebuchet MS"/>
        </w:rPr>
      </w:pPr>
      <w:r w:rsidRPr="009F2022">
        <w:rPr>
          <w:rFonts w:ascii="Trebuchet MS" w:hAnsi="Trebuchet MS"/>
        </w:rPr>
        <w:t>Colonial involvement in the procession</w:t>
      </w:r>
      <w:proofErr w:type="gramStart"/>
      <w:r w:rsidRPr="009F2022">
        <w:rPr>
          <w:rFonts w:ascii="Trebuchet MS" w:hAnsi="Trebuchet MS"/>
        </w:rPr>
        <w:t>:</w:t>
      </w:r>
      <w:proofErr w:type="gramEnd"/>
      <w:r>
        <w:rPr>
          <w:rFonts w:ascii="Trebuchet MS" w:hAnsi="Trebuchet MS"/>
        </w:rPr>
        <w:br/>
      </w:r>
      <w:hyperlink r:id="rId19" w:history="1">
        <w:r w:rsidRPr="00AE7C3E">
          <w:rPr>
            <w:rStyle w:val="Hyperlink"/>
            <w:rFonts w:ascii="Trebuchet MS" w:hAnsi="Trebuchet MS"/>
          </w:rPr>
          <w:t>https://www.wikiwand.com/en/articles/George_and_Mary's_coronation</w:t>
        </w:r>
      </w:hyperlink>
      <w:r>
        <w:br/>
      </w:r>
      <w:r w:rsidR="009F2022" w:rsidRPr="009F2022">
        <w:rPr>
          <w:rFonts w:ascii="Trebuchet MS" w:hAnsi="Trebuchet MS"/>
        </w:rPr>
        <w:br/>
      </w:r>
      <w:hyperlink w:anchor="Contents" w:history="1">
        <w:r w:rsidRPr="00153922">
          <w:rPr>
            <w:rStyle w:val="Hyperlink"/>
            <w:rFonts w:ascii="Trebuchet MS" w:hAnsi="Trebuchet MS"/>
          </w:rPr>
          <w:t>Conte</w:t>
        </w:r>
        <w:r w:rsidRPr="00153922">
          <w:rPr>
            <w:rStyle w:val="Hyperlink"/>
            <w:rFonts w:ascii="Trebuchet MS" w:hAnsi="Trebuchet MS"/>
          </w:rPr>
          <w:t>n</w:t>
        </w:r>
        <w:r w:rsidRPr="00153922">
          <w:rPr>
            <w:rStyle w:val="Hyperlink"/>
            <w:rFonts w:ascii="Trebuchet MS" w:hAnsi="Trebuchet MS"/>
          </w:rPr>
          <w:t>ts</w:t>
        </w:r>
      </w:hyperlink>
    </w:p>
    <w:p w:rsidR="009F2022" w:rsidRPr="009F2022" w:rsidRDefault="009F2022" w:rsidP="00153922">
      <w:pPr>
        <w:pStyle w:val="NormalWeb"/>
        <w:rPr>
          <w:rFonts w:ascii="Trebuchet MS" w:hAnsi="Trebuchet MS"/>
        </w:rPr>
      </w:pPr>
      <w:r w:rsidRPr="009F2022">
        <w:rPr>
          <w:rFonts w:ascii="Trebuchet MS" w:hAnsi="Trebuchet MS"/>
        </w:rPr>
        <w:t>Ends</w:t>
      </w:r>
    </w:p>
    <w:sectPr w:rsidR="009F2022" w:rsidRPr="009F2022" w:rsidSect="0043429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B5" w:rsidRDefault="009009B5" w:rsidP="00A83FF4">
      <w:pPr>
        <w:spacing w:after="0" w:line="240" w:lineRule="auto"/>
      </w:pPr>
      <w:r>
        <w:separator/>
      </w:r>
    </w:p>
  </w:endnote>
  <w:endnote w:type="continuationSeparator" w:id="0">
    <w:p w:rsidR="009009B5" w:rsidRDefault="009009B5" w:rsidP="00A83FF4">
      <w:pPr>
        <w:spacing w:after="0" w:line="240" w:lineRule="auto"/>
      </w:pPr>
      <w:r>
        <w:continuationSeparator/>
      </w:r>
    </w:p>
  </w:endnote>
  <w:endnote w:id="1">
    <w:p w:rsidR="00D5242B" w:rsidRDefault="00D5242B">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B5" w:rsidRDefault="009009B5" w:rsidP="00A83FF4">
      <w:pPr>
        <w:spacing w:after="0" w:line="240" w:lineRule="auto"/>
      </w:pPr>
      <w:r>
        <w:separator/>
      </w:r>
    </w:p>
  </w:footnote>
  <w:footnote w:type="continuationSeparator" w:id="0">
    <w:p w:rsidR="009009B5" w:rsidRDefault="009009B5" w:rsidP="00A83FF4">
      <w:pPr>
        <w:spacing w:after="0" w:line="240" w:lineRule="auto"/>
      </w:pPr>
      <w:r>
        <w:continuationSeparator/>
      </w:r>
    </w:p>
  </w:footnote>
  <w:footnote w:id="1">
    <w:p w:rsidR="00F354CD" w:rsidRDefault="00F354CD" w:rsidP="00F354CD">
      <w:pPr>
        <w:pStyle w:val="Footnote"/>
      </w:pPr>
      <w:r>
        <w:rPr>
          <w:rStyle w:val="FootnoteReference"/>
        </w:rPr>
        <w:footnoteRef/>
      </w:r>
      <w:r>
        <w:t xml:space="preserve"> </w:t>
      </w:r>
      <w:r w:rsidRPr="00F354CD">
        <w:t xml:space="preserve"> I haven't included Post-colonial Theory only because it is generally premised on being about cultures which are post-colonial, or discussion produced by people who are from cultures which were once </w:t>
      </w:r>
      <w:proofErr w:type="spellStart"/>
      <w:r w:rsidRPr="00F354CD">
        <w:t>colonised</w:t>
      </w:r>
      <w:proofErr w:type="spellEnd"/>
      <w:r w:rsidRPr="00F354CD">
        <w:t xml:space="preserve">. My linked essay about </w:t>
      </w:r>
      <w:proofErr w:type="spellStart"/>
      <w:r w:rsidRPr="00F354CD">
        <w:t>creatives</w:t>
      </w:r>
      <w:proofErr w:type="spellEnd"/>
      <w:r w:rsidRPr="00F354CD">
        <w:t xml:space="preserve"> in 19th Century India, as discussed by Pakistani and Indian people, some living in our time, will be </w:t>
      </w:r>
      <w:proofErr w:type="spellStart"/>
      <w:r w:rsidRPr="00F354CD">
        <w:t>labelled</w:t>
      </w:r>
      <w:proofErr w:type="spellEnd"/>
      <w:r w:rsidRPr="00F354CD">
        <w:t xml:space="preserve"> as Post-colonial.</w:t>
      </w:r>
      <w:r w:rsidR="001D27C5">
        <w:t xml:space="preserve"> My logic may be faulty: perhaps all </w:t>
      </w:r>
      <w:proofErr w:type="spellStart"/>
      <w:r w:rsidR="001D27C5">
        <w:t>Said’s</w:t>
      </w:r>
      <w:proofErr w:type="spellEnd"/>
      <w:r w:rsidR="001D27C5">
        <w:t xml:space="preserve"> thought ought to be considered to have come from a Post-colonial.</w:t>
      </w:r>
      <w:r w:rsidRPr="00F354CD">
        <w:t>)</w:t>
      </w:r>
    </w:p>
  </w:footnote>
  <w:footnote w:id="2">
    <w:p w:rsidR="00D5242B" w:rsidRDefault="00D5242B" w:rsidP="004354D1">
      <w:pPr>
        <w:pStyle w:val="NormalWeb"/>
        <w:rPr>
          <w:rFonts w:ascii="Trebuchet MS" w:hAnsi="Trebuchet MS"/>
        </w:rPr>
      </w:pPr>
      <w:r>
        <w:rPr>
          <w:rStyle w:val="FootnoteReference"/>
        </w:rPr>
        <w:footnoteRef/>
      </w:r>
      <w:r>
        <w:t xml:space="preserve"> </w:t>
      </w:r>
      <w:r w:rsidRPr="009F2022">
        <w:rPr>
          <w:rFonts w:ascii="Trebuchet MS" w:hAnsi="Trebuchet MS"/>
        </w:rPr>
        <w:t xml:space="preserve">The Empire Exhibition is famous in our time as the scene of George V’s opening it with a triumph over his stuttering. (The movie, The King’s Speech (2010) recalls the success of the stroppy familiarity of a colonial subject of Empire, the Australian Lionel Logue, in liberating the King’s tongue. SKN drew the dedicated transport map for the Exhibition and park, including the London Underground connections. SKN also made a rocking horse for the Dolls’ House, so may have had </w:t>
      </w:r>
      <w:r>
        <w:rPr>
          <w:rFonts w:ascii="Trebuchet MS" w:hAnsi="Trebuchet MS"/>
        </w:rPr>
        <w:t xml:space="preserve">a showing at </w:t>
      </w:r>
      <w:proofErr w:type="spellStart"/>
      <w:r>
        <w:rPr>
          <w:rFonts w:ascii="Trebuchet MS" w:hAnsi="Trebuchet MS"/>
        </w:rPr>
        <w:t>Wembley</w:t>
      </w:r>
      <w:proofErr w:type="spellEnd"/>
      <w:r>
        <w:rPr>
          <w:rFonts w:ascii="Trebuchet MS" w:hAnsi="Trebuchet MS"/>
        </w:rPr>
        <w:t xml:space="preserve"> too.</w:t>
      </w:r>
    </w:p>
    <w:p w:rsidR="004F519E" w:rsidRDefault="004F519E" w:rsidP="004354D1">
      <w:pPr>
        <w:pStyle w:val="NormalWeb"/>
      </w:pPr>
    </w:p>
  </w:footnote>
  <w:footnote w:id="3">
    <w:p w:rsidR="00D5242B" w:rsidRDefault="00D5242B" w:rsidP="00D5242B">
      <w:pPr>
        <w:pStyle w:val="Footnote"/>
      </w:pPr>
      <w:r>
        <w:rPr>
          <w:rStyle w:val="FootnoteReference"/>
        </w:rPr>
        <w:footnoteRef/>
      </w:r>
      <w:r>
        <w:t xml:space="preserve"> </w:t>
      </w:r>
      <w:r w:rsidRPr="009F2022">
        <w:t xml:space="preserve">I think SKN’s likeliest thought-leader was WR </w:t>
      </w:r>
      <w:proofErr w:type="spellStart"/>
      <w:r w:rsidRPr="009F2022">
        <w:t>Lethaby</w:t>
      </w:r>
      <w:proofErr w:type="spellEnd"/>
      <w:r w:rsidRPr="009F2022">
        <w:t xml:space="preserve">, whom he probably encountered at the Royal College of Art. </w:t>
      </w:r>
      <w:proofErr w:type="spellStart"/>
      <w:r w:rsidRPr="009F2022">
        <w:t>Lethaby</w:t>
      </w:r>
      <w:proofErr w:type="spellEnd"/>
      <w:r w:rsidRPr="009F2022">
        <w:t xml:space="preserve"> was a medievalist with a powerful interest in Modernism, an inclination that was followed by </w:t>
      </w:r>
      <w:proofErr w:type="spellStart"/>
      <w:r w:rsidRPr="009F2022">
        <w:t>L</w:t>
      </w:r>
      <w:r>
        <w:t>utyens</w:t>
      </w:r>
      <w:proofErr w:type="spellEnd"/>
      <w:r>
        <w:t xml:space="preserve"> in his later career. For more leads on SKN, his </w:t>
      </w:r>
      <w:proofErr w:type="spellStart"/>
      <w:r>
        <w:t>Dehli</w:t>
      </w:r>
      <w:proofErr w:type="spellEnd"/>
      <w:r>
        <w:t xml:space="preserve"> work and </w:t>
      </w:r>
      <w:proofErr w:type="spellStart"/>
      <w:r>
        <w:t>Lethaby</w:t>
      </w:r>
      <w:proofErr w:type="spellEnd"/>
      <w:r>
        <w:t xml:space="preserve"> connection, see Appendix #3</w:t>
      </w:r>
    </w:p>
  </w:footnote>
  <w:footnote w:id="4">
    <w:p w:rsidR="00D5242B" w:rsidRPr="009F2022" w:rsidRDefault="00D5242B" w:rsidP="00D5242B">
      <w:pPr>
        <w:pStyle w:val="NormalWeb"/>
        <w:rPr>
          <w:rFonts w:ascii="Trebuchet MS" w:hAnsi="Trebuchet MS"/>
        </w:rPr>
      </w:pPr>
      <w:r>
        <w:rPr>
          <w:rStyle w:val="FootnoteReference"/>
        </w:rPr>
        <w:footnoteRef/>
      </w:r>
      <w:r>
        <w:t xml:space="preserve"> </w:t>
      </w:r>
      <w:r w:rsidRPr="009F2022">
        <w:rPr>
          <w:rFonts w:ascii="Trebuchet MS" w:hAnsi="Trebuchet MS"/>
        </w:rPr>
        <w:t xml:space="preserve">“Colonial Ambivalence” was coined so far as I can see (we are given no source) by </w:t>
      </w:r>
      <w:proofErr w:type="spellStart"/>
      <w:r w:rsidRPr="009F2022">
        <w:rPr>
          <w:rFonts w:ascii="Trebuchet MS" w:hAnsi="Trebuchet MS"/>
        </w:rPr>
        <w:t>Homi</w:t>
      </w:r>
      <w:proofErr w:type="spellEnd"/>
      <w:r w:rsidRPr="009F2022">
        <w:rPr>
          <w:rFonts w:ascii="Trebuchet MS" w:hAnsi="Trebuchet MS"/>
        </w:rPr>
        <w:t xml:space="preserve"> K </w:t>
      </w:r>
      <w:proofErr w:type="spellStart"/>
      <w:r w:rsidRPr="009F2022">
        <w:rPr>
          <w:rFonts w:ascii="Trebuchet MS" w:hAnsi="Trebuchet MS"/>
        </w:rPr>
        <w:t>Bhabha</w:t>
      </w:r>
      <w:proofErr w:type="spellEnd"/>
      <w:r w:rsidRPr="009F2022">
        <w:rPr>
          <w:rFonts w:ascii="Trebuchet MS" w:hAnsi="Trebuchet MS"/>
        </w:rPr>
        <w:t>, of Harvard Uni</w:t>
      </w:r>
      <w:r>
        <w:rPr>
          <w:rFonts w:ascii="Trebuchet MS" w:hAnsi="Trebuchet MS"/>
        </w:rPr>
        <w:t>versity.</w:t>
      </w:r>
    </w:p>
    <w:p w:rsidR="00D5242B" w:rsidRDefault="00D5242B">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2022"/>
    <w:rsid w:val="00153922"/>
    <w:rsid w:val="001D27C5"/>
    <w:rsid w:val="002C0BE4"/>
    <w:rsid w:val="003D57EE"/>
    <w:rsid w:val="00434292"/>
    <w:rsid w:val="004354D1"/>
    <w:rsid w:val="004F519E"/>
    <w:rsid w:val="005265EF"/>
    <w:rsid w:val="005A5464"/>
    <w:rsid w:val="005B5CA4"/>
    <w:rsid w:val="00737BEF"/>
    <w:rsid w:val="0074275E"/>
    <w:rsid w:val="00742C05"/>
    <w:rsid w:val="007D0265"/>
    <w:rsid w:val="009009B5"/>
    <w:rsid w:val="009436FA"/>
    <w:rsid w:val="009F2022"/>
    <w:rsid w:val="00A83FF4"/>
    <w:rsid w:val="00AF3DBC"/>
    <w:rsid w:val="00B17059"/>
    <w:rsid w:val="00BF0F1C"/>
    <w:rsid w:val="00C20738"/>
    <w:rsid w:val="00CF1156"/>
    <w:rsid w:val="00D5242B"/>
    <w:rsid w:val="00DB03E8"/>
    <w:rsid w:val="00DD7E22"/>
    <w:rsid w:val="00E5225F"/>
    <w:rsid w:val="00E53DF7"/>
    <w:rsid w:val="00F35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9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0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022"/>
    <w:rPr>
      <w:i/>
      <w:iCs/>
    </w:rPr>
  </w:style>
  <w:style w:type="character" w:styleId="Hyperlink">
    <w:name w:val="Hyperlink"/>
    <w:basedOn w:val="DefaultParagraphFont"/>
    <w:uiPriority w:val="99"/>
    <w:unhideWhenUsed/>
    <w:rsid w:val="009F2022"/>
    <w:rPr>
      <w:color w:val="0000FF"/>
      <w:u w:val="single"/>
    </w:rPr>
  </w:style>
  <w:style w:type="character" w:styleId="Strong">
    <w:name w:val="Strong"/>
    <w:basedOn w:val="DefaultParagraphFont"/>
    <w:uiPriority w:val="22"/>
    <w:qFormat/>
    <w:rsid w:val="009F2022"/>
    <w:rPr>
      <w:b/>
      <w:bCs/>
    </w:rPr>
  </w:style>
  <w:style w:type="character" w:styleId="FollowedHyperlink">
    <w:name w:val="FollowedHyperlink"/>
    <w:basedOn w:val="DefaultParagraphFont"/>
    <w:uiPriority w:val="99"/>
    <w:semiHidden/>
    <w:unhideWhenUsed/>
    <w:rsid w:val="009F2022"/>
    <w:rPr>
      <w:color w:val="800080" w:themeColor="followedHyperlink"/>
      <w:u w:val="single"/>
    </w:rPr>
  </w:style>
  <w:style w:type="paragraph" w:styleId="EndnoteText">
    <w:name w:val="endnote text"/>
    <w:basedOn w:val="Normal"/>
    <w:link w:val="EndnoteTextChar"/>
    <w:uiPriority w:val="99"/>
    <w:semiHidden/>
    <w:unhideWhenUsed/>
    <w:rsid w:val="00A83F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3FF4"/>
    <w:rPr>
      <w:sz w:val="20"/>
      <w:szCs w:val="20"/>
    </w:rPr>
  </w:style>
  <w:style w:type="character" w:styleId="EndnoteReference">
    <w:name w:val="endnote reference"/>
    <w:basedOn w:val="DefaultParagraphFont"/>
    <w:uiPriority w:val="99"/>
    <w:semiHidden/>
    <w:unhideWhenUsed/>
    <w:rsid w:val="00A83FF4"/>
    <w:rPr>
      <w:vertAlign w:val="superscript"/>
    </w:rPr>
  </w:style>
  <w:style w:type="paragraph" w:styleId="FootnoteText">
    <w:name w:val="footnote text"/>
    <w:basedOn w:val="Normal"/>
    <w:link w:val="FootnoteTextChar"/>
    <w:uiPriority w:val="99"/>
    <w:semiHidden/>
    <w:unhideWhenUsed/>
    <w:rsid w:val="007D02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265"/>
    <w:rPr>
      <w:sz w:val="20"/>
      <w:szCs w:val="20"/>
    </w:rPr>
  </w:style>
  <w:style w:type="character" w:styleId="FootnoteReference">
    <w:name w:val="footnote reference"/>
    <w:basedOn w:val="DefaultParagraphFont"/>
    <w:uiPriority w:val="99"/>
    <w:semiHidden/>
    <w:unhideWhenUsed/>
    <w:rsid w:val="007D0265"/>
    <w:rPr>
      <w:vertAlign w:val="superscript"/>
    </w:rPr>
  </w:style>
  <w:style w:type="paragraph" w:styleId="NoSpacing">
    <w:name w:val="No Spacing"/>
    <w:uiPriority w:val="1"/>
    <w:qFormat/>
    <w:rsid w:val="007D0265"/>
    <w:pPr>
      <w:spacing w:after="0" w:line="240" w:lineRule="auto"/>
    </w:pPr>
  </w:style>
  <w:style w:type="paragraph" w:customStyle="1" w:styleId="Footnote">
    <w:name w:val="Footnote"/>
    <w:basedOn w:val="NormalWeb"/>
    <w:qFormat/>
    <w:rsid w:val="007D0265"/>
    <w:rPr>
      <w:rFonts w:ascii="Trebuchet MS" w:hAnsi="Trebuchet MS"/>
    </w:rPr>
  </w:style>
  <w:style w:type="paragraph" w:styleId="Footer">
    <w:name w:val="footer"/>
    <w:basedOn w:val="Normal"/>
    <w:link w:val="FooterChar"/>
    <w:uiPriority w:val="99"/>
    <w:unhideWhenUsed/>
    <w:rsid w:val="00D52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42B"/>
  </w:style>
</w:styles>
</file>

<file path=word/webSettings.xml><?xml version="1.0" encoding="utf-8"?>
<w:webSettings xmlns:r="http://schemas.openxmlformats.org/officeDocument/2006/relationships" xmlns:w="http://schemas.openxmlformats.org/wordprocessingml/2006/main">
  <w:divs>
    <w:div w:id="10251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toretrust.org.uk/restore-trust-issues/curzon-as-viceroy-of-india" TargetMode="External"/><Relationship Id="rId13" Type="http://schemas.openxmlformats.org/officeDocument/2006/relationships/hyperlink" Target="https://doi.org/10.33545/26647699.2024.v6.i1a.60" TargetMode="External"/><Relationship Id="rId18" Type="http://schemas.openxmlformats.org/officeDocument/2006/relationships/hyperlink" Target="https://www.iwm.org.uk/collections/item/object/106000007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icharddnorth.com/2024/11/critical-theory-etc-an-interrogation/" TargetMode="External"/><Relationship Id="rId12" Type="http://schemas.openxmlformats.org/officeDocument/2006/relationships/hyperlink" Target="https://indianculture.gov.in/digital-district-repository/district-repository/understanding-facade-colonial-legislature-morley" TargetMode="External"/><Relationship Id="rId17" Type="http://schemas.openxmlformats.org/officeDocument/2006/relationships/hyperlink" Target="https://indianculture.gov.in/system/files/paintingimage/Select-Paintings-of-Rashtrapati-Bhavan-21.jpg" TargetMode="External"/><Relationship Id="rId2" Type="http://schemas.openxmlformats.org/officeDocument/2006/relationships/styles" Target="styles.xml"/><Relationship Id="rId16" Type="http://schemas.openxmlformats.org/officeDocument/2006/relationships/hyperlink" Target="https://worldarchitecture.org/article-links/eehmv/new-delhi-capitol-complex-from-edwin-lutyens-herbert-baker-on-to-bimal-pate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stor.org/stable/312829" TargetMode="External"/><Relationship Id="rId5" Type="http://schemas.openxmlformats.org/officeDocument/2006/relationships/footnotes" Target="footnotes.xml"/><Relationship Id="rId15" Type="http://schemas.openxmlformats.org/officeDocument/2006/relationships/hyperlink" Target="https://www.hindustantimes.com/art-and-culture/two-paintings-and-a-love-story/story-RbemBcH1gBSGvD5MB3MIjI.html" TargetMode="External"/><Relationship Id="rId10" Type="http://schemas.openxmlformats.org/officeDocument/2006/relationships/hyperlink" Target="https://doi.org/312829" TargetMode="External"/><Relationship Id="rId19" Type="http://schemas.openxmlformats.org/officeDocument/2006/relationships/hyperlink" Target="https://www.wikiwand.com/en/articles/George_and_Mary's_coronation" TargetMode="External"/><Relationship Id="rId4" Type="http://schemas.openxmlformats.org/officeDocument/2006/relationships/webSettings" Target="webSettings.xml"/><Relationship Id="rId9" Type="http://schemas.openxmlformats.org/officeDocument/2006/relationships/hyperlink" Target="https://en.wikipedia.org/wiki/Indian_Councils_Act_1909" TargetMode="External"/><Relationship Id="rId14" Type="http://schemas.openxmlformats.org/officeDocument/2006/relationships/hyperlink" Target="https://www.rashtrapatibhavan.gov.in/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7AD4E-AEC2-47AF-88DF-799904D6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9</cp:revision>
  <dcterms:created xsi:type="dcterms:W3CDTF">2024-12-02T10:04:00Z</dcterms:created>
  <dcterms:modified xsi:type="dcterms:W3CDTF">2024-12-02T11:39:00Z</dcterms:modified>
</cp:coreProperties>
</file>